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873509" w:rsidP="004B7F52">
            <w:pPr>
              <w:jc w:val="center"/>
              <w:rPr>
                <w:rFonts w:ascii="Arial" w:hAnsi="Arial" w:cs="Arial"/>
                <w:color w:val="000000" w:themeColor="text1"/>
                <w:sz w:val="24"/>
                <w:szCs w:val="24"/>
              </w:rPr>
            </w:pPr>
            <w:r>
              <w:rPr>
                <w:rFonts w:ascii="Arial" w:hAnsi="Arial" w:cs="Arial"/>
                <w:color w:val="000000" w:themeColor="text1"/>
                <w:sz w:val="24"/>
                <w:szCs w:val="24"/>
              </w:rPr>
              <w:t>НОВОЧЕЧКАБСКОГО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526BB6" w:rsidRDefault="00873509" w:rsidP="004B7F52">
            <w:pPr>
              <w:jc w:val="center"/>
              <w:rPr>
                <w:rFonts w:ascii="Arial" w:hAnsi="Arial" w:cs="Arial"/>
                <w:color w:val="000000" w:themeColor="text1"/>
                <w:sz w:val="24"/>
                <w:szCs w:val="24"/>
              </w:rPr>
            </w:pPr>
            <w:r w:rsidRPr="00873509">
              <w:rPr>
                <w:rFonts w:ascii="Arial" w:hAnsi="Arial" w:cs="Arial"/>
                <w:color w:val="000000" w:themeColor="text1"/>
                <w:sz w:val="24"/>
                <w:szCs w:val="24"/>
              </w:rPr>
              <w:t>ЯҢА ЧӘЧКАП</w:t>
            </w:r>
            <w:r w:rsidR="00526BB6" w:rsidRPr="00526BB6">
              <w:rPr>
                <w:rFonts w:ascii="Arial" w:hAnsi="Arial" w:cs="Arial"/>
                <w:color w:val="000000" w:themeColor="text1"/>
                <w:sz w:val="24"/>
                <w:szCs w:val="24"/>
              </w:rPr>
              <w:t xml:space="preserve"> </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AC3B21"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783455">
        <w:rPr>
          <w:rFonts w:ascii="Arial" w:hAnsi="Arial" w:cs="Arial"/>
          <w:color w:val="000000"/>
          <w:sz w:val="24"/>
          <w:szCs w:val="24"/>
          <w:u w:val="single"/>
          <w:lang w:val="tt-RU"/>
        </w:rPr>
        <w:t>12</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873509">
        <w:rPr>
          <w:rFonts w:ascii="Arial" w:hAnsi="Arial" w:cs="Arial"/>
          <w:color w:val="000000"/>
          <w:sz w:val="18"/>
          <w:szCs w:val="18"/>
          <w:lang w:val="tt-RU"/>
        </w:rPr>
        <w:t>Яңа Чәчкап</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00F26535">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783455">
        <w:rPr>
          <w:rFonts w:ascii="Arial" w:hAnsi="Arial" w:cs="Arial"/>
          <w:color w:val="000000"/>
          <w:sz w:val="24"/>
          <w:szCs w:val="24"/>
          <w:u w:val="single"/>
          <w:lang w:val="tt-RU"/>
        </w:rPr>
        <w:t>64</w:t>
      </w:r>
      <w:r w:rsidR="00D35984">
        <w:rPr>
          <w:rFonts w:ascii="Arial" w:hAnsi="Arial" w:cs="Arial"/>
          <w:color w:val="000000"/>
          <w:sz w:val="24"/>
          <w:szCs w:val="24"/>
          <w:u w:val="single"/>
          <w:lang w:val="tt-RU"/>
        </w:rPr>
        <w:t>-</w:t>
      </w:r>
      <w:r w:rsidR="00783455">
        <w:rPr>
          <w:rFonts w:ascii="Arial" w:hAnsi="Arial" w:cs="Arial"/>
          <w:color w:val="000000"/>
          <w:sz w:val="24"/>
          <w:szCs w:val="24"/>
          <w:u w:val="single"/>
          <w:lang w:val="tt-RU"/>
        </w:rPr>
        <w:t>1</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AC3B21"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873509"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Яңа Чәчкап</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873509">
              <w:rPr>
                <w:rFonts w:ascii="Arial" w:hAnsi="Arial" w:cs="Arial"/>
                <w:sz w:val="24"/>
                <w:szCs w:val="24"/>
                <w:lang w:val="tt-RU"/>
              </w:rPr>
              <w:t>Яңа Чәчкап</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873509">
              <w:rPr>
                <w:rFonts w:ascii="Arial" w:hAnsi="Arial" w:cs="Arial"/>
                <w:sz w:val="24"/>
                <w:szCs w:val="24"/>
                <w:lang w:val="tt-RU"/>
              </w:rPr>
              <w:t>Яңа Чәчкап</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873509">
              <w:rPr>
                <w:rFonts w:ascii="Arial" w:hAnsi="Arial" w:cs="Arial"/>
                <w:sz w:val="24"/>
                <w:szCs w:val="24"/>
                <w:lang w:val="tt-RU"/>
              </w:rPr>
              <w:t>Яңа Чәчкап</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873509">
              <w:rPr>
                <w:rFonts w:ascii="Arial" w:hAnsi="Arial" w:cs="Arial"/>
                <w:sz w:val="24"/>
                <w:szCs w:val="24"/>
                <w:lang w:val="tt-RU"/>
              </w:rPr>
              <w:t>Яңа Чәчкап</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873509">
              <w:rPr>
                <w:rFonts w:ascii="Arial" w:hAnsi="Arial" w:cs="Arial"/>
                <w:sz w:val="24"/>
                <w:szCs w:val="24"/>
                <w:lang w:val="tt-RU"/>
              </w:rPr>
              <w:t>Яңа Чәчкап</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C60F97">
              <w:rPr>
                <w:rFonts w:ascii="Arial" w:hAnsi="Arial" w:cs="Arial"/>
                <w:sz w:val="24"/>
                <w:szCs w:val="24"/>
                <w:lang w:val="tt-RU"/>
              </w:rPr>
              <w:t>эшк</w:t>
            </w:r>
            <w:r w:rsidRPr="00775D78">
              <w:rPr>
                <w:rFonts w:ascii="Arial" w:hAnsi="Arial" w:cs="Arial"/>
                <w:sz w:val="24"/>
                <w:szCs w:val="24"/>
                <w:lang w:val="tt-RU"/>
              </w:rPr>
              <w:t>ә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C60F97">
              <w:rPr>
                <w:rFonts w:ascii="Arial" w:hAnsi="Arial" w:cs="Arial"/>
                <w:sz w:val="24"/>
                <w:szCs w:val="24"/>
                <w:lang w:val="tt-RU"/>
              </w:rPr>
              <w:t>эш</w:t>
            </w:r>
            <w:bookmarkStart w:id="0" w:name="_GoBack"/>
            <w:bookmarkEnd w:id="0"/>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AC3B21" w:rsidP="00932C2A">
            <w:pPr>
              <w:widowControl w:val="0"/>
              <w:autoSpaceDE w:val="0"/>
              <w:autoSpaceDN w:val="0"/>
              <w:spacing w:line="0" w:lineRule="atLeast"/>
              <w:jc w:val="both"/>
              <w:rPr>
                <w:rFonts w:ascii="Arial" w:hAnsi="Arial" w:cs="Arial"/>
                <w:sz w:val="24"/>
                <w:szCs w:val="24"/>
              </w:rPr>
            </w:pPr>
          </w:p>
          <w:p w:rsidR="00775D78" w:rsidRDefault="00AC3B21"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775D78" w:rsidRPr="00573AC8" w:rsidRDefault="00873509"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Яңа Чәчкап</w:t>
            </w:r>
            <w:r w:rsidR="004D5FE2">
              <w:rPr>
                <w:rFonts w:ascii="Arial" w:hAnsi="Arial" w:cs="Arial"/>
                <w:sz w:val="24"/>
                <w:szCs w:val="24"/>
                <w:lang w:val="tt-RU"/>
              </w:rPr>
              <w:t xml:space="preserve"> </w:t>
            </w:r>
            <w:r w:rsidR="00B31A4A" w:rsidRPr="00775D78">
              <w:rPr>
                <w:rFonts w:ascii="Arial" w:hAnsi="Arial" w:cs="Arial"/>
                <w:sz w:val="24"/>
                <w:szCs w:val="24"/>
                <w:lang w:val="tt-RU"/>
              </w:rPr>
              <w:t xml:space="preserve">авыл җирлеге башлыгы </w:t>
            </w:r>
            <w:r w:rsidR="00A71AEA">
              <w:rPr>
                <w:rFonts w:ascii="Arial" w:hAnsi="Arial" w:cs="Arial"/>
                <w:sz w:val="24"/>
                <w:szCs w:val="24"/>
                <w:lang w:val="tt-RU"/>
              </w:rPr>
              <w:t xml:space="preserve"> </w:t>
            </w:r>
            <w:r w:rsidR="00573AC8">
              <w:rPr>
                <w:rFonts w:ascii="Arial" w:hAnsi="Arial" w:cs="Arial"/>
                <w:sz w:val="24"/>
                <w:szCs w:val="24"/>
                <w:lang w:val="tt-RU"/>
              </w:rPr>
              <w:t xml:space="preserve">      </w:t>
            </w:r>
            <w:r w:rsidR="00C4578D">
              <w:rPr>
                <w:rFonts w:ascii="Arial" w:hAnsi="Arial" w:cs="Arial"/>
                <w:sz w:val="24"/>
                <w:szCs w:val="24"/>
                <w:lang w:val="tt-RU"/>
              </w:rPr>
              <w:t xml:space="preserve">            </w:t>
            </w:r>
            <w:r w:rsidR="002128B2">
              <w:rPr>
                <w:rFonts w:ascii="Arial" w:hAnsi="Arial" w:cs="Arial"/>
                <w:sz w:val="24"/>
                <w:szCs w:val="24"/>
                <w:lang w:val="tt-RU"/>
              </w:rPr>
              <w:t xml:space="preserve">  </w:t>
            </w:r>
            <w:r w:rsidR="007E2959">
              <w:rPr>
                <w:rFonts w:ascii="Arial" w:hAnsi="Arial" w:cs="Arial"/>
                <w:sz w:val="24"/>
                <w:szCs w:val="24"/>
                <w:lang w:val="tt-RU"/>
              </w:rPr>
              <w:t xml:space="preserve"> </w:t>
            </w:r>
            <w:r w:rsidR="00684D01">
              <w:rPr>
                <w:rFonts w:ascii="Arial" w:hAnsi="Arial" w:cs="Arial"/>
                <w:sz w:val="24"/>
                <w:szCs w:val="24"/>
                <w:lang w:val="tt-RU"/>
              </w:rPr>
              <w:t xml:space="preserve">  </w:t>
            </w:r>
            <w:r w:rsidR="007E2959">
              <w:rPr>
                <w:rFonts w:ascii="Arial" w:hAnsi="Arial" w:cs="Arial"/>
                <w:sz w:val="24"/>
                <w:szCs w:val="24"/>
                <w:lang w:val="tt-RU"/>
              </w:rPr>
              <w:t xml:space="preserve"> </w:t>
            </w:r>
            <w:r w:rsidR="003F1D8C">
              <w:rPr>
                <w:rFonts w:ascii="Arial" w:hAnsi="Arial" w:cs="Arial"/>
                <w:sz w:val="24"/>
                <w:szCs w:val="24"/>
                <w:lang w:val="tt-RU"/>
              </w:rPr>
              <w:t xml:space="preserve">                               </w:t>
            </w:r>
            <w:r w:rsidR="00835DE7">
              <w:rPr>
                <w:rFonts w:ascii="Arial" w:hAnsi="Arial" w:cs="Arial"/>
                <w:sz w:val="24"/>
                <w:szCs w:val="24"/>
                <w:lang w:val="tt-RU"/>
              </w:rPr>
              <w:t xml:space="preserve"> </w:t>
            </w:r>
            <w:r>
              <w:rPr>
                <w:rFonts w:ascii="Arial" w:hAnsi="Arial" w:cs="Arial"/>
                <w:sz w:val="24"/>
                <w:szCs w:val="24"/>
                <w:lang w:val="tt-RU"/>
              </w:rPr>
              <w:t xml:space="preserve">   </w:t>
            </w:r>
            <w:r w:rsidRPr="00873509">
              <w:rPr>
                <w:rFonts w:ascii="Arial" w:hAnsi="Arial" w:cs="Arial"/>
                <w:sz w:val="24"/>
                <w:szCs w:val="24"/>
                <w:lang w:val="tt-RU"/>
              </w:rPr>
              <w:t>Д.Д. Абдрахманова</w:t>
            </w:r>
          </w:p>
          <w:p w:rsidR="00775D78" w:rsidRPr="00573AC8" w:rsidRDefault="00AC3B21"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C3B21"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C3B21"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AC3B21"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873509"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Яңа Чәчкап</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783455">
              <w:rPr>
                <w:rFonts w:ascii="Arial" w:hAnsi="Arial" w:cs="Arial"/>
                <w:sz w:val="18"/>
                <w:szCs w:val="18"/>
                <w:lang w:val="tt-RU"/>
              </w:rPr>
              <w:t>12</w:t>
            </w:r>
            <w:r w:rsidRPr="00D93B02">
              <w:rPr>
                <w:rFonts w:ascii="Arial" w:hAnsi="Arial" w:cs="Arial"/>
                <w:sz w:val="18"/>
                <w:szCs w:val="18"/>
                <w:lang w:val="tt-RU"/>
              </w:rPr>
              <w:t xml:space="preserve"> апрелендәге </w:t>
            </w:r>
            <w:r w:rsidR="00783455">
              <w:rPr>
                <w:rFonts w:ascii="Arial" w:hAnsi="Arial" w:cs="Arial"/>
                <w:sz w:val="18"/>
                <w:szCs w:val="18"/>
                <w:lang w:val="tt-RU"/>
              </w:rPr>
              <w:t>64-1</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873509">
              <w:rPr>
                <w:rFonts w:ascii="Arial" w:hAnsi="Arial" w:cs="Arial"/>
                <w:sz w:val="24"/>
                <w:szCs w:val="24"/>
                <w:lang w:val="tt-RU"/>
              </w:rPr>
              <w:t>Яңа Чәчкап</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AC3B21"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AC3B21"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873509">
              <w:rPr>
                <w:rFonts w:ascii="Arial" w:hAnsi="Arial" w:cs="Arial"/>
                <w:sz w:val="24"/>
                <w:szCs w:val="24"/>
                <w:lang w:val="tt-RU"/>
              </w:rPr>
              <w:t>Яңа Чәчкап</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873509">
              <w:rPr>
                <w:rFonts w:ascii="Arial" w:hAnsi="Arial" w:cs="Arial"/>
                <w:sz w:val="24"/>
                <w:szCs w:val="24"/>
                <w:lang w:val="tt-RU"/>
              </w:rPr>
              <w:t>Яңа Чәчкап</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AC3B21"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AC3B21"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AC3B21"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AC3B21"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AC3B21"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AC3B21"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AC3B21" w:rsidP="005B0F3F">
            <w:pPr>
              <w:widowControl w:val="0"/>
              <w:autoSpaceDE w:val="0"/>
              <w:autoSpaceDN w:val="0"/>
              <w:spacing w:line="0" w:lineRule="atLeast"/>
              <w:jc w:val="right"/>
              <w:outlineLvl w:val="1"/>
              <w:rPr>
                <w:rFonts w:ascii="Arial" w:hAnsi="Arial" w:cs="Arial"/>
                <w:sz w:val="24"/>
                <w:szCs w:val="24"/>
              </w:rPr>
            </w:pPr>
          </w:p>
          <w:p w:rsidR="005B0F3F" w:rsidRPr="00775D78" w:rsidRDefault="00AC3B21"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AC3B21" w:rsidP="005B0F3F">
            <w:pPr>
              <w:spacing w:after="200" w:line="276" w:lineRule="auto"/>
              <w:rPr>
                <w:rFonts w:ascii="Arial" w:eastAsiaTheme="minorHAnsi" w:hAnsi="Arial" w:cs="Arial"/>
                <w:sz w:val="24"/>
                <w:szCs w:val="24"/>
                <w:lang w:eastAsia="en-US"/>
              </w:rPr>
            </w:pPr>
          </w:p>
          <w:p w:rsidR="005B0F3F" w:rsidRPr="00775D78" w:rsidRDefault="00AC3B21" w:rsidP="005B0F3F">
            <w:pPr>
              <w:spacing w:after="200" w:line="276" w:lineRule="auto"/>
              <w:rPr>
                <w:rFonts w:ascii="Arial" w:eastAsiaTheme="minorHAnsi" w:hAnsi="Arial" w:cs="Arial"/>
                <w:sz w:val="24"/>
                <w:szCs w:val="24"/>
                <w:lang w:eastAsia="en-US"/>
              </w:rPr>
            </w:pPr>
          </w:p>
          <w:p w:rsidR="00932C2A" w:rsidRPr="00775D78" w:rsidRDefault="00AC3B21"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AC3B21" w:rsidP="00932C2A">
                        <w:pPr>
                          <w:jc w:val="center"/>
                          <w:rPr>
                            <w:sz w:val="20"/>
                          </w:rPr>
                        </w:pPr>
                      </w:p>
                    </w:txbxContent>
                  </v:textbox>
                </v:shape>
              </w:pict>
            </w: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widowControl w:val="0"/>
              <w:autoSpaceDE w:val="0"/>
              <w:autoSpaceDN w:val="0"/>
              <w:spacing w:line="0" w:lineRule="atLeast"/>
              <w:ind w:left="6804"/>
              <w:outlineLvl w:val="0"/>
              <w:rPr>
                <w:rFonts w:ascii="Arial" w:hAnsi="Arial" w:cs="Arial"/>
                <w:sz w:val="24"/>
                <w:szCs w:val="24"/>
              </w:rPr>
            </w:pPr>
          </w:p>
          <w:p w:rsidR="00932C2A" w:rsidRPr="00775D78" w:rsidRDefault="00AC3B21" w:rsidP="00932C2A">
            <w:pPr>
              <w:rPr>
                <w:rFonts w:ascii="Arial" w:hAnsi="Arial" w:cs="Arial"/>
                <w:color w:val="000000"/>
                <w:sz w:val="24"/>
                <w:szCs w:val="24"/>
              </w:rPr>
            </w:pPr>
          </w:p>
        </w:tc>
        <w:tc>
          <w:tcPr>
            <w:tcW w:w="4110" w:type="dxa"/>
            <w:shd w:val="clear" w:color="auto" w:fill="auto"/>
          </w:tcPr>
          <w:p w:rsidR="00932C2A" w:rsidRPr="00775D78" w:rsidRDefault="00AC3B21" w:rsidP="00932C2A">
            <w:pPr>
              <w:jc w:val="center"/>
              <w:rPr>
                <w:rFonts w:ascii="Arial" w:hAnsi="Arial" w:cs="Arial"/>
                <w:color w:val="000000"/>
                <w:sz w:val="24"/>
                <w:szCs w:val="24"/>
              </w:rPr>
            </w:pPr>
          </w:p>
          <w:p w:rsidR="00932C2A" w:rsidRPr="00775D78" w:rsidRDefault="00AC3B21" w:rsidP="00932C2A">
            <w:pPr>
              <w:jc w:val="center"/>
              <w:rPr>
                <w:rFonts w:ascii="Arial" w:hAnsi="Arial" w:cs="Arial"/>
                <w:color w:val="000000"/>
                <w:sz w:val="24"/>
                <w:szCs w:val="24"/>
              </w:rPr>
            </w:pPr>
          </w:p>
          <w:p w:rsidR="00932C2A" w:rsidRPr="00775D78" w:rsidRDefault="00AC3B21" w:rsidP="00932C2A">
            <w:pPr>
              <w:rPr>
                <w:rFonts w:ascii="Arial" w:hAnsi="Arial" w:cs="Arial"/>
                <w:color w:val="000000"/>
                <w:sz w:val="24"/>
                <w:szCs w:val="24"/>
              </w:rPr>
            </w:pPr>
          </w:p>
        </w:tc>
      </w:tr>
    </w:tbl>
    <w:p w:rsidR="00932C2A" w:rsidRPr="00775D78" w:rsidRDefault="00AC3B21" w:rsidP="00932C2A">
      <w:pPr>
        <w:spacing w:line="0" w:lineRule="atLeast"/>
        <w:rPr>
          <w:rFonts w:ascii="Arial" w:hAnsi="Arial" w:cs="Arial"/>
          <w:sz w:val="24"/>
          <w:szCs w:val="24"/>
        </w:rPr>
      </w:pPr>
    </w:p>
    <w:p w:rsidR="00932C2A" w:rsidRPr="00775D78" w:rsidRDefault="00AC3B21"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21" w:rsidRDefault="00AC3B21">
      <w:r>
        <w:separator/>
      </w:r>
    </w:p>
  </w:endnote>
  <w:endnote w:type="continuationSeparator" w:id="0">
    <w:p w:rsidR="00AC3B21" w:rsidRDefault="00AC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C60F97">
          <w:rPr>
            <w:noProof/>
            <w:sz w:val="20"/>
            <w:szCs w:val="20"/>
          </w:rPr>
          <w:t>5</w:t>
        </w:r>
        <w:r w:rsidRPr="004A1E1B">
          <w:rPr>
            <w:sz w:val="20"/>
            <w:szCs w:val="20"/>
          </w:rPr>
          <w:fldChar w:fldCharType="end"/>
        </w:r>
      </w:p>
    </w:sdtContent>
  </w:sdt>
  <w:p w:rsidR="00405200" w:rsidRDefault="00AC3B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21" w:rsidRDefault="00AC3B21">
      <w:r>
        <w:separator/>
      </w:r>
    </w:p>
  </w:footnote>
  <w:footnote w:type="continuationSeparator" w:id="0">
    <w:p w:rsidR="00AC3B21" w:rsidRDefault="00AC3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1477F"/>
    <w:rsid w:val="000569CE"/>
    <w:rsid w:val="000906ED"/>
    <w:rsid w:val="000B5B6A"/>
    <w:rsid w:val="000D28CF"/>
    <w:rsid w:val="00106470"/>
    <w:rsid w:val="001F10CE"/>
    <w:rsid w:val="00205929"/>
    <w:rsid w:val="002128B2"/>
    <w:rsid w:val="002365FA"/>
    <w:rsid w:val="002849FD"/>
    <w:rsid w:val="002C5FDA"/>
    <w:rsid w:val="00310AF9"/>
    <w:rsid w:val="003F1D8C"/>
    <w:rsid w:val="004151DE"/>
    <w:rsid w:val="00492560"/>
    <w:rsid w:val="004B5DA0"/>
    <w:rsid w:val="004B7F52"/>
    <w:rsid w:val="004D561E"/>
    <w:rsid w:val="004D5FE2"/>
    <w:rsid w:val="00526BB6"/>
    <w:rsid w:val="00540E0A"/>
    <w:rsid w:val="005436D8"/>
    <w:rsid w:val="00573AC8"/>
    <w:rsid w:val="00607B64"/>
    <w:rsid w:val="006568B0"/>
    <w:rsid w:val="00684D01"/>
    <w:rsid w:val="006F7C60"/>
    <w:rsid w:val="00727CD2"/>
    <w:rsid w:val="00783455"/>
    <w:rsid w:val="007A1070"/>
    <w:rsid w:val="007A387B"/>
    <w:rsid w:val="007D071F"/>
    <w:rsid w:val="007E2959"/>
    <w:rsid w:val="007E52CA"/>
    <w:rsid w:val="0082017C"/>
    <w:rsid w:val="00835DE7"/>
    <w:rsid w:val="008726D1"/>
    <w:rsid w:val="00873509"/>
    <w:rsid w:val="00897CCE"/>
    <w:rsid w:val="008D3120"/>
    <w:rsid w:val="0092485F"/>
    <w:rsid w:val="009359A6"/>
    <w:rsid w:val="00941573"/>
    <w:rsid w:val="00994769"/>
    <w:rsid w:val="009F78F2"/>
    <w:rsid w:val="00A71AEA"/>
    <w:rsid w:val="00A96564"/>
    <w:rsid w:val="00AC3B21"/>
    <w:rsid w:val="00B25FFE"/>
    <w:rsid w:val="00B27048"/>
    <w:rsid w:val="00B27A22"/>
    <w:rsid w:val="00B31A4A"/>
    <w:rsid w:val="00B43B81"/>
    <w:rsid w:val="00C4578D"/>
    <w:rsid w:val="00C60F97"/>
    <w:rsid w:val="00CB02B3"/>
    <w:rsid w:val="00D02D8A"/>
    <w:rsid w:val="00D35984"/>
    <w:rsid w:val="00D65BAB"/>
    <w:rsid w:val="00D93B02"/>
    <w:rsid w:val="00E226C1"/>
    <w:rsid w:val="00EE443C"/>
    <w:rsid w:val="00F26535"/>
    <w:rsid w:val="00F40134"/>
    <w:rsid w:val="00F651CD"/>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6B89-745E-497B-AC1C-FE47CCCF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4</cp:revision>
  <cp:lastPrinted>2019-05-13T10:54:00Z</cp:lastPrinted>
  <dcterms:created xsi:type="dcterms:W3CDTF">2019-05-13T11:02:00Z</dcterms:created>
  <dcterms:modified xsi:type="dcterms:W3CDTF">2019-05-13T13:30:00Z</dcterms:modified>
</cp:coreProperties>
</file>