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F243F5" w:rsidRPr="00A6372B" w:rsidTr="00F243F5">
        <w:trPr>
          <w:trHeight w:val="1560"/>
        </w:trPr>
        <w:tc>
          <w:tcPr>
            <w:tcW w:w="4261" w:type="dxa"/>
            <w:tcBorders>
              <w:top w:val="nil"/>
              <w:left w:val="nil"/>
              <w:bottom w:val="single" w:sz="4" w:space="0" w:color="auto"/>
              <w:right w:val="nil"/>
            </w:tcBorders>
            <w:vAlign w:val="center"/>
          </w:tcPr>
          <w:p w:rsidR="00F243F5" w:rsidRPr="00F243F5" w:rsidRDefault="00F243F5" w:rsidP="00F243F5">
            <w:pPr>
              <w:spacing w:after="0" w:line="240" w:lineRule="auto"/>
              <w:jc w:val="center"/>
              <w:rPr>
                <w:rFonts w:ascii="Times New Roman" w:hAnsi="Times New Roman" w:cs="Times New Roman"/>
                <w:sz w:val="28"/>
              </w:rPr>
            </w:pPr>
            <w:r w:rsidRPr="00F243F5">
              <w:rPr>
                <w:rFonts w:ascii="Times New Roman" w:hAnsi="Times New Roman" w:cs="Times New Roman"/>
                <w:sz w:val="28"/>
              </w:rPr>
              <w:t>РЕСПУБЛИКА ТАТАРСТАН</w:t>
            </w:r>
          </w:p>
          <w:p w:rsidR="00F243F5" w:rsidRPr="00F243F5" w:rsidRDefault="00F243F5" w:rsidP="00F243F5">
            <w:pPr>
              <w:spacing w:after="0" w:line="240" w:lineRule="auto"/>
              <w:jc w:val="center"/>
              <w:rPr>
                <w:rFonts w:ascii="Times New Roman" w:hAnsi="Times New Roman" w:cs="Times New Roman"/>
                <w:sz w:val="28"/>
              </w:rPr>
            </w:pPr>
            <w:r w:rsidRPr="00F243F5">
              <w:rPr>
                <w:rFonts w:ascii="Times New Roman" w:hAnsi="Times New Roman" w:cs="Times New Roman"/>
                <w:sz w:val="28"/>
              </w:rPr>
              <w:t xml:space="preserve">СОВЕТ </w:t>
            </w:r>
          </w:p>
          <w:p w:rsidR="00F243F5" w:rsidRPr="00F243F5" w:rsidRDefault="00F243F5" w:rsidP="00F243F5">
            <w:pPr>
              <w:spacing w:after="0" w:line="240" w:lineRule="auto"/>
              <w:jc w:val="center"/>
              <w:rPr>
                <w:rFonts w:ascii="Times New Roman" w:hAnsi="Times New Roman" w:cs="Times New Roman"/>
                <w:sz w:val="28"/>
              </w:rPr>
            </w:pPr>
            <w:r w:rsidRPr="00F243F5">
              <w:rPr>
                <w:rFonts w:ascii="Times New Roman" w:hAnsi="Times New Roman" w:cs="Times New Roman"/>
                <w:sz w:val="28"/>
              </w:rPr>
              <w:t>БУИНСКОГО</w:t>
            </w:r>
          </w:p>
          <w:p w:rsidR="00F243F5" w:rsidRPr="00F243F5" w:rsidRDefault="00F243F5" w:rsidP="00F243F5">
            <w:pPr>
              <w:spacing w:after="0" w:line="240" w:lineRule="auto"/>
              <w:jc w:val="center"/>
              <w:rPr>
                <w:rFonts w:ascii="Times New Roman" w:hAnsi="Times New Roman" w:cs="Times New Roman"/>
                <w:sz w:val="28"/>
              </w:rPr>
            </w:pPr>
            <w:r w:rsidRPr="00F243F5">
              <w:rPr>
                <w:rFonts w:ascii="Times New Roman" w:hAnsi="Times New Roman" w:cs="Times New Roman"/>
                <w:sz w:val="28"/>
              </w:rPr>
              <w:t>МУНИЦИПАЛЬНОГО РАЙОНА</w:t>
            </w:r>
          </w:p>
          <w:p w:rsidR="00F243F5" w:rsidRPr="00F243F5" w:rsidRDefault="00F243F5" w:rsidP="00F243F5">
            <w:pPr>
              <w:spacing w:after="0" w:line="240" w:lineRule="auto"/>
              <w:jc w:val="center"/>
              <w:rPr>
                <w:rFonts w:ascii="Times New Roman" w:hAnsi="Times New Roman" w:cs="Times New Roman"/>
              </w:rPr>
            </w:pPr>
          </w:p>
        </w:tc>
        <w:tc>
          <w:tcPr>
            <w:tcW w:w="1286" w:type="dxa"/>
            <w:gridSpan w:val="2"/>
            <w:tcBorders>
              <w:top w:val="nil"/>
              <w:left w:val="nil"/>
              <w:bottom w:val="single" w:sz="4" w:space="0" w:color="auto"/>
              <w:right w:val="nil"/>
            </w:tcBorders>
            <w:vAlign w:val="center"/>
            <w:hideMark/>
          </w:tcPr>
          <w:p w:rsidR="00F243F5" w:rsidRPr="00F243F5" w:rsidRDefault="00F243F5" w:rsidP="00F243F5">
            <w:pPr>
              <w:spacing w:after="0" w:line="240" w:lineRule="auto"/>
              <w:jc w:val="center"/>
              <w:rPr>
                <w:rFonts w:ascii="Times New Roman" w:hAnsi="Times New Roman" w:cs="Times New Roman"/>
              </w:rPr>
            </w:pPr>
            <w:r w:rsidRPr="00F243F5">
              <w:rPr>
                <w:rFonts w:ascii="Times New Roman" w:hAnsi="Times New Roman" w:cs="Times New Roman"/>
                <w:noProof/>
                <w:lang w:eastAsia="ru-RU"/>
              </w:rPr>
              <w:drawing>
                <wp:inline distT="0" distB="0" distL="0" distR="0">
                  <wp:extent cx="727075" cy="9004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90043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F243F5" w:rsidRPr="00F243F5" w:rsidRDefault="00F243F5" w:rsidP="00F243F5">
            <w:pPr>
              <w:spacing w:after="0" w:line="240" w:lineRule="auto"/>
              <w:jc w:val="center"/>
              <w:rPr>
                <w:rFonts w:ascii="Times New Roman" w:hAnsi="Times New Roman" w:cs="Times New Roman"/>
                <w:sz w:val="28"/>
              </w:rPr>
            </w:pPr>
            <w:r w:rsidRPr="00F243F5">
              <w:rPr>
                <w:rFonts w:ascii="Times New Roman" w:hAnsi="Times New Roman" w:cs="Times New Roman"/>
                <w:sz w:val="28"/>
              </w:rPr>
              <w:t>ТАТАРСТАН РЕСПУБЛИКАСЫ</w:t>
            </w:r>
          </w:p>
          <w:p w:rsidR="00F243F5" w:rsidRPr="00F243F5" w:rsidRDefault="00F243F5" w:rsidP="00F243F5">
            <w:pPr>
              <w:spacing w:after="0" w:line="240" w:lineRule="auto"/>
              <w:jc w:val="center"/>
              <w:rPr>
                <w:rFonts w:ascii="Times New Roman" w:hAnsi="Times New Roman" w:cs="Times New Roman"/>
                <w:sz w:val="28"/>
              </w:rPr>
            </w:pPr>
            <w:r w:rsidRPr="00F243F5">
              <w:rPr>
                <w:rFonts w:ascii="Times New Roman" w:hAnsi="Times New Roman" w:cs="Times New Roman"/>
                <w:sz w:val="28"/>
              </w:rPr>
              <w:t>БУА</w:t>
            </w:r>
          </w:p>
          <w:p w:rsidR="00F243F5" w:rsidRPr="00F243F5" w:rsidRDefault="00F243F5" w:rsidP="00F243F5">
            <w:pPr>
              <w:spacing w:after="0" w:line="240" w:lineRule="auto"/>
              <w:jc w:val="center"/>
              <w:rPr>
                <w:rFonts w:ascii="Times New Roman" w:hAnsi="Times New Roman" w:cs="Times New Roman"/>
                <w:sz w:val="28"/>
              </w:rPr>
            </w:pPr>
            <w:r w:rsidRPr="00F243F5">
              <w:rPr>
                <w:rFonts w:ascii="Times New Roman" w:hAnsi="Times New Roman" w:cs="Times New Roman"/>
                <w:sz w:val="28"/>
              </w:rPr>
              <w:t xml:space="preserve"> МУНИЦИПАЛЬ РАЙОНЫ</w:t>
            </w:r>
          </w:p>
          <w:p w:rsidR="00F243F5" w:rsidRPr="00F243F5" w:rsidRDefault="00F243F5" w:rsidP="00F243F5">
            <w:pPr>
              <w:spacing w:after="0" w:line="240" w:lineRule="auto"/>
              <w:jc w:val="center"/>
              <w:rPr>
                <w:rFonts w:ascii="Times New Roman" w:hAnsi="Times New Roman" w:cs="Times New Roman"/>
              </w:rPr>
            </w:pPr>
            <w:r w:rsidRPr="00F243F5">
              <w:rPr>
                <w:rFonts w:ascii="Times New Roman" w:hAnsi="Times New Roman" w:cs="Times New Roman"/>
                <w:sz w:val="28"/>
              </w:rPr>
              <w:t xml:space="preserve"> СОВЕТЫ</w:t>
            </w:r>
            <w:r w:rsidRPr="00F243F5">
              <w:rPr>
                <w:rFonts w:ascii="Times New Roman" w:hAnsi="Times New Roman" w:cs="Times New Roman"/>
              </w:rPr>
              <w:br/>
            </w:r>
          </w:p>
        </w:tc>
      </w:tr>
      <w:tr w:rsidR="00F243F5" w:rsidRPr="00A6372B" w:rsidTr="00F243F5">
        <w:trPr>
          <w:gridAfter w:val="1"/>
          <w:wAfter w:w="81" w:type="dxa"/>
          <w:trHeight w:val="1021"/>
        </w:trPr>
        <w:tc>
          <w:tcPr>
            <w:tcW w:w="4855" w:type="dxa"/>
            <w:gridSpan w:val="2"/>
            <w:tcMar>
              <w:top w:w="0" w:type="dxa"/>
              <w:left w:w="0" w:type="dxa"/>
              <w:bottom w:w="0" w:type="dxa"/>
              <w:right w:w="0" w:type="dxa"/>
            </w:tcMar>
          </w:tcPr>
          <w:p w:rsidR="00F243F5" w:rsidRPr="00F243F5" w:rsidRDefault="00F243F5" w:rsidP="00F243F5">
            <w:pPr>
              <w:spacing w:after="0" w:line="240" w:lineRule="auto"/>
              <w:jc w:val="center"/>
              <w:rPr>
                <w:rFonts w:ascii="Times New Roman" w:hAnsi="Times New Roman" w:cs="Times New Roman"/>
                <w:b/>
                <w:sz w:val="28"/>
              </w:rPr>
            </w:pPr>
          </w:p>
          <w:p w:rsidR="00F243F5" w:rsidRPr="00F243F5" w:rsidRDefault="00F243F5" w:rsidP="00F243F5">
            <w:pPr>
              <w:spacing w:after="0" w:line="240" w:lineRule="auto"/>
              <w:jc w:val="center"/>
              <w:rPr>
                <w:rFonts w:ascii="Times New Roman" w:hAnsi="Times New Roman" w:cs="Times New Roman"/>
                <w:b/>
                <w:sz w:val="28"/>
              </w:rPr>
            </w:pPr>
            <w:r w:rsidRPr="00F243F5">
              <w:rPr>
                <w:rFonts w:ascii="Times New Roman" w:hAnsi="Times New Roman" w:cs="Times New Roman"/>
                <w:b/>
                <w:sz w:val="28"/>
              </w:rPr>
              <w:t>РЕШЕНИЕ</w:t>
            </w:r>
          </w:p>
          <w:p w:rsidR="00F243F5" w:rsidRPr="00F243F5" w:rsidRDefault="00F243F5" w:rsidP="00F243F5">
            <w:pPr>
              <w:spacing w:after="0" w:line="240" w:lineRule="auto"/>
              <w:jc w:val="center"/>
              <w:rPr>
                <w:rFonts w:ascii="Times New Roman" w:hAnsi="Times New Roman" w:cs="Times New Roman"/>
                <w:sz w:val="20"/>
              </w:rPr>
            </w:pPr>
            <w:r w:rsidRPr="00F243F5">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2705100</wp:posOffset>
                      </wp:positionH>
                      <wp:positionV relativeFrom="paragraph">
                        <wp:posOffset>96520</wp:posOffset>
                      </wp:positionV>
                      <wp:extent cx="825500" cy="226060"/>
                      <wp:effectExtent l="0" t="1270" r="3175" b="12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243F5" w:rsidRPr="00F243F5" w:rsidRDefault="00F243F5" w:rsidP="00F243F5">
                                  <w:pPr>
                                    <w:jc w:val="center"/>
                                    <w:rPr>
                                      <w:rFonts w:ascii="Times New Roman" w:hAnsi="Times New Roman" w:cs="Times New Roman"/>
                                      <w:sz w:val="24"/>
                                      <w:szCs w:val="24"/>
                                    </w:rPr>
                                  </w:pPr>
                                  <w:r w:rsidRPr="00F243F5">
                                    <w:rPr>
                                      <w:rFonts w:ascii="Times New Roman" w:hAnsi="Times New Roman" w:cs="Times New Roman"/>
                                      <w:sz w:val="24"/>
                                      <w:szCs w:val="24"/>
                                    </w:rPr>
                                    <w:t>г.</w:t>
                                  </w:r>
                                  <w:r w:rsidRPr="00F243F5">
                                    <w:rPr>
                                      <w:rFonts w:ascii="Times New Roman" w:hAnsi="Times New Roman" w:cs="Times New Roman"/>
                                      <w:sz w:val="24"/>
                                      <w:szCs w:val="24"/>
                                      <w:lang w:val="en-US"/>
                                    </w:rPr>
                                    <w:t xml:space="preserve"> </w:t>
                                  </w:r>
                                  <w:r w:rsidRPr="00F243F5">
                                    <w:rPr>
                                      <w:rFonts w:ascii="Times New Roman" w:hAnsi="Times New Roman" w:cs="Times New Roman"/>
                                      <w:sz w:val="24"/>
                                      <w:szCs w:val="24"/>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213pt;margin-top:7.6pt;width:6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" filled="f" stroked="f" strokecolor="white">
                      <v:textbox inset="0,0,0,0">
                        <w:txbxContent>
                          <w:p w:rsidR="00F243F5" w:rsidRPr="00F243F5" w:rsidRDefault="00F243F5" w:rsidP="00F243F5">
                            <w:pPr>
                              <w:jc w:val="center"/>
                              <w:rPr>
                                <w:rFonts w:ascii="Times New Roman" w:hAnsi="Times New Roman" w:cs="Times New Roman"/>
                                <w:sz w:val="24"/>
                                <w:szCs w:val="24"/>
                              </w:rPr>
                            </w:pPr>
                            <w:r w:rsidRPr="00F243F5">
                              <w:rPr>
                                <w:rFonts w:ascii="Times New Roman" w:hAnsi="Times New Roman" w:cs="Times New Roman"/>
                                <w:sz w:val="24"/>
                                <w:szCs w:val="24"/>
                              </w:rPr>
                              <w:t>г.</w:t>
                            </w:r>
                            <w:r w:rsidRPr="00F243F5">
                              <w:rPr>
                                <w:rFonts w:ascii="Times New Roman" w:hAnsi="Times New Roman" w:cs="Times New Roman"/>
                                <w:sz w:val="24"/>
                                <w:szCs w:val="24"/>
                                <w:lang w:val="en-US"/>
                              </w:rPr>
                              <w:t xml:space="preserve"> </w:t>
                            </w:r>
                            <w:r w:rsidRPr="00F243F5">
                              <w:rPr>
                                <w:rFonts w:ascii="Times New Roman" w:hAnsi="Times New Roman" w:cs="Times New Roman"/>
                                <w:sz w:val="24"/>
                                <w:szCs w:val="24"/>
                              </w:rPr>
                              <w:t>Буинск</w:t>
                            </w:r>
                          </w:p>
                        </w:txbxContent>
                      </v:textbox>
                    </v:shape>
                  </w:pict>
                </mc:Fallback>
              </mc:AlternateContent>
            </w:r>
          </w:p>
          <w:p w:rsidR="00F243F5" w:rsidRPr="00F243F5" w:rsidRDefault="00F243F5" w:rsidP="00F243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r w:rsidRPr="00F243F5">
              <w:rPr>
                <w:rFonts w:ascii="Times New Roman" w:hAnsi="Times New Roman" w:cs="Times New Roman"/>
                <w:sz w:val="28"/>
                <w:szCs w:val="28"/>
              </w:rPr>
              <w:t xml:space="preserve"> октября 2019 года</w:t>
            </w:r>
          </w:p>
        </w:tc>
        <w:tc>
          <w:tcPr>
            <w:tcW w:w="4856" w:type="dxa"/>
            <w:gridSpan w:val="2"/>
            <w:tcMar>
              <w:top w:w="0" w:type="dxa"/>
              <w:left w:w="0" w:type="dxa"/>
              <w:bottom w:w="0" w:type="dxa"/>
              <w:right w:w="0" w:type="dxa"/>
            </w:tcMar>
          </w:tcPr>
          <w:p w:rsidR="00F243F5" w:rsidRPr="00F243F5" w:rsidRDefault="00F243F5" w:rsidP="00F243F5">
            <w:pPr>
              <w:keepNext/>
              <w:spacing w:after="0" w:line="240" w:lineRule="auto"/>
              <w:jc w:val="center"/>
              <w:outlineLvl w:val="0"/>
              <w:rPr>
                <w:rFonts w:ascii="Times New Roman" w:hAnsi="Times New Roman" w:cs="Times New Roman"/>
                <w:b/>
              </w:rPr>
            </w:pPr>
          </w:p>
          <w:p w:rsidR="00F243F5" w:rsidRPr="00F243F5" w:rsidRDefault="00F243F5" w:rsidP="00F243F5">
            <w:pPr>
              <w:keepNext/>
              <w:spacing w:after="0" w:line="240" w:lineRule="auto"/>
              <w:jc w:val="center"/>
              <w:outlineLvl w:val="0"/>
              <w:rPr>
                <w:rFonts w:ascii="Times New Roman" w:hAnsi="Times New Roman" w:cs="Times New Roman"/>
                <w:b/>
                <w:sz w:val="28"/>
              </w:rPr>
            </w:pPr>
            <w:r w:rsidRPr="00F243F5">
              <w:rPr>
                <w:rFonts w:ascii="Times New Roman" w:hAnsi="Times New Roman" w:cs="Times New Roman"/>
                <w:b/>
                <w:sz w:val="28"/>
              </w:rPr>
              <w:t>КАРАР</w:t>
            </w:r>
          </w:p>
          <w:p w:rsidR="00F243F5" w:rsidRPr="00F243F5" w:rsidRDefault="00F243F5" w:rsidP="00F243F5">
            <w:pPr>
              <w:spacing w:after="0" w:line="240" w:lineRule="auto"/>
              <w:jc w:val="center"/>
              <w:rPr>
                <w:rFonts w:ascii="Times New Roman" w:hAnsi="Times New Roman" w:cs="Times New Roman"/>
              </w:rPr>
            </w:pPr>
          </w:p>
          <w:p w:rsidR="00F243F5" w:rsidRPr="00F243F5" w:rsidRDefault="00F243F5" w:rsidP="00F243F5">
            <w:pPr>
              <w:spacing w:after="0" w:line="240" w:lineRule="auto"/>
              <w:jc w:val="center"/>
              <w:rPr>
                <w:rFonts w:ascii="Times New Roman" w:hAnsi="Times New Roman" w:cs="Times New Roman"/>
                <w:sz w:val="28"/>
                <w:szCs w:val="28"/>
              </w:rPr>
            </w:pPr>
            <w:r w:rsidRPr="00F243F5">
              <w:rPr>
                <w:rFonts w:ascii="Times New Roman" w:hAnsi="Times New Roman" w:cs="Times New Roman"/>
                <w:sz w:val="28"/>
                <w:szCs w:val="28"/>
              </w:rPr>
              <w:t xml:space="preserve">                         № </w:t>
            </w:r>
            <w:r>
              <w:rPr>
                <w:rFonts w:ascii="Times New Roman" w:hAnsi="Times New Roman" w:cs="Times New Roman"/>
                <w:sz w:val="28"/>
                <w:szCs w:val="28"/>
              </w:rPr>
              <w:t>2-46</w:t>
            </w:r>
          </w:p>
        </w:tc>
      </w:tr>
    </w:tbl>
    <w:p w:rsidR="00F243F5" w:rsidRDefault="00F243F5" w:rsidP="00F243F5">
      <w:pPr>
        <w:spacing w:after="0" w:line="240" w:lineRule="auto"/>
        <w:rPr>
          <w:rFonts w:ascii="Times New Roman" w:eastAsia="Times New Roman" w:hAnsi="Times New Roman" w:cs="Times New Roman"/>
          <w:sz w:val="28"/>
          <w:szCs w:val="28"/>
          <w:lang w:eastAsia="ru-RU"/>
        </w:rPr>
      </w:pPr>
    </w:p>
    <w:p w:rsidR="00F243F5" w:rsidRDefault="00F243F5" w:rsidP="002F5D28">
      <w:pPr>
        <w:spacing w:after="0" w:line="240" w:lineRule="auto"/>
        <w:rPr>
          <w:rFonts w:ascii="Times New Roman" w:eastAsia="Times New Roman" w:hAnsi="Times New Roman" w:cs="Times New Roman"/>
          <w:sz w:val="28"/>
          <w:szCs w:val="28"/>
          <w:lang w:eastAsia="ru-RU"/>
        </w:rPr>
      </w:pPr>
    </w:p>
    <w:p w:rsidR="00F243F5" w:rsidRDefault="00F243F5" w:rsidP="002F5D28">
      <w:pPr>
        <w:spacing w:after="0" w:line="240" w:lineRule="auto"/>
        <w:rPr>
          <w:rFonts w:ascii="Times New Roman" w:eastAsia="Times New Roman" w:hAnsi="Times New Roman" w:cs="Times New Roman"/>
          <w:sz w:val="28"/>
          <w:szCs w:val="28"/>
          <w:lang w:eastAsia="ru-RU"/>
        </w:rPr>
      </w:pPr>
    </w:p>
    <w:p w:rsidR="002F5D28" w:rsidRPr="00F243F5" w:rsidRDefault="002F5D28" w:rsidP="002F5D28">
      <w:pPr>
        <w:spacing w:after="0" w:line="240" w:lineRule="auto"/>
        <w:rPr>
          <w:rFonts w:ascii="Times New Roman" w:eastAsia="Times New Roman" w:hAnsi="Times New Roman" w:cs="Times New Roman"/>
          <w:bCs/>
          <w:kern w:val="1"/>
          <w:sz w:val="28"/>
          <w:szCs w:val="28"/>
          <w:lang w:eastAsia="ar-SA"/>
        </w:rPr>
      </w:pPr>
      <w:r w:rsidRPr="00F243F5">
        <w:rPr>
          <w:rFonts w:ascii="Times New Roman" w:eastAsia="Times New Roman" w:hAnsi="Times New Roman" w:cs="Times New Roman"/>
          <w:sz w:val="28"/>
          <w:szCs w:val="28"/>
          <w:lang w:eastAsia="ru-RU"/>
        </w:rPr>
        <w:t>О внесении изменений в</w:t>
      </w:r>
      <w:r w:rsidRPr="00F243F5">
        <w:rPr>
          <w:rFonts w:ascii="Times New Roman" w:eastAsia="Times New Roman" w:hAnsi="Times New Roman" w:cs="Times New Roman"/>
          <w:bCs/>
          <w:kern w:val="1"/>
          <w:sz w:val="28"/>
          <w:szCs w:val="28"/>
          <w:lang w:eastAsia="ar-SA"/>
        </w:rPr>
        <w:t xml:space="preserve"> Стратегию </w:t>
      </w:r>
    </w:p>
    <w:p w:rsidR="002F5D28" w:rsidRPr="00F243F5" w:rsidRDefault="002F5D28" w:rsidP="002F5D28">
      <w:pPr>
        <w:spacing w:after="0" w:line="240" w:lineRule="auto"/>
        <w:rPr>
          <w:rFonts w:ascii="Times New Roman" w:eastAsia="Times New Roman" w:hAnsi="Times New Roman" w:cs="Times New Roman"/>
          <w:bCs/>
          <w:kern w:val="1"/>
          <w:sz w:val="28"/>
          <w:szCs w:val="28"/>
          <w:lang w:eastAsia="ar-SA"/>
        </w:rPr>
      </w:pPr>
      <w:r w:rsidRPr="00F243F5">
        <w:rPr>
          <w:rFonts w:ascii="Times New Roman" w:eastAsia="Times New Roman" w:hAnsi="Times New Roman" w:cs="Times New Roman"/>
          <w:bCs/>
          <w:kern w:val="1"/>
          <w:sz w:val="28"/>
          <w:szCs w:val="28"/>
          <w:lang w:eastAsia="ar-SA"/>
        </w:rPr>
        <w:t xml:space="preserve">социально-экономического развития </w:t>
      </w:r>
    </w:p>
    <w:p w:rsidR="002F5D28" w:rsidRPr="00F243F5" w:rsidRDefault="002F5D28" w:rsidP="002F5D28">
      <w:pPr>
        <w:spacing w:after="0" w:line="240" w:lineRule="auto"/>
        <w:rPr>
          <w:rFonts w:ascii="Times New Roman" w:eastAsia="Times New Roman" w:hAnsi="Times New Roman" w:cs="Times New Roman"/>
          <w:bCs/>
          <w:kern w:val="1"/>
          <w:sz w:val="28"/>
          <w:szCs w:val="28"/>
          <w:lang w:eastAsia="ar-SA"/>
        </w:rPr>
      </w:pPr>
      <w:r w:rsidRPr="00F243F5">
        <w:rPr>
          <w:rFonts w:ascii="Times New Roman" w:eastAsia="Times New Roman" w:hAnsi="Times New Roman" w:cs="Times New Roman"/>
          <w:bCs/>
          <w:kern w:val="1"/>
          <w:sz w:val="28"/>
          <w:szCs w:val="28"/>
          <w:lang w:eastAsia="ar-SA"/>
        </w:rPr>
        <w:t xml:space="preserve">Буинского муниципального района  </w:t>
      </w:r>
    </w:p>
    <w:p w:rsidR="002F5D28" w:rsidRPr="00F243F5" w:rsidRDefault="002F5D28" w:rsidP="002F5D28">
      <w:pPr>
        <w:spacing w:after="0" w:line="240" w:lineRule="auto"/>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bCs/>
          <w:kern w:val="1"/>
          <w:sz w:val="28"/>
          <w:szCs w:val="28"/>
          <w:lang w:eastAsia="ar-SA"/>
        </w:rPr>
        <w:t>на 2016-2021 годы и плановый период до 2030 года</w:t>
      </w:r>
      <w:r w:rsidRPr="00F243F5">
        <w:rPr>
          <w:rFonts w:ascii="Times New Roman" w:eastAsia="Times New Roman" w:hAnsi="Times New Roman" w:cs="Times New Roman"/>
          <w:sz w:val="28"/>
          <w:szCs w:val="28"/>
          <w:lang w:eastAsia="ru-RU"/>
        </w:rPr>
        <w:t xml:space="preserve"> </w:t>
      </w:r>
    </w:p>
    <w:p w:rsidR="002F5D28" w:rsidRPr="00F243F5" w:rsidRDefault="002F5D28" w:rsidP="002F5D28">
      <w:pPr>
        <w:spacing w:after="0" w:line="240" w:lineRule="auto"/>
        <w:outlineLvl w:val="0"/>
        <w:rPr>
          <w:rFonts w:ascii="Times New Roman" w:eastAsia="Times New Roman" w:hAnsi="Times New Roman" w:cs="Times New Roman"/>
          <w:sz w:val="28"/>
          <w:szCs w:val="28"/>
          <w:lang w:eastAsia="ru-RU"/>
        </w:rPr>
      </w:pPr>
    </w:p>
    <w:p w:rsidR="002F5D28" w:rsidRPr="00F243F5" w:rsidRDefault="002F5D28" w:rsidP="002F5D28">
      <w:pPr>
        <w:spacing w:after="0" w:line="240" w:lineRule="auto"/>
        <w:outlineLvl w:val="0"/>
        <w:rPr>
          <w:rFonts w:ascii="Times New Roman" w:eastAsia="Times New Roman" w:hAnsi="Times New Roman" w:cs="Times New Roman"/>
          <w:sz w:val="28"/>
          <w:szCs w:val="28"/>
          <w:lang w:eastAsia="ru-RU"/>
        </w:rPr>
      </w:pPr>
    </w:p>
    <w:p w:rsidR="00F243F5" w:rsidRDefault="002F5D28"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В соответствии с Федеральным законом от 28 июня 2014 года № 172-ФЗ «О стратегическом планировании в Российской Федерации», Законом Республики Татарстан от 16 марта 2015 года № 12-ЗРТ «О стратегическом планировании в Республике Татарстан» и Законом Республики Татарстан 15 марта 2015 года № 40-ЗРТ «Об утверждении Стратегии социально-экономического развития Республики Татарстан до 2030 года»,</w:t>
      </w:r>
      <w:r w:rsidRPr="00F243F5">
        <w:rPr>
          <w:rFonts w:ascii="Times New Roman" w:hAnsi="Times New Roman" w:cs="Times New Roman"/>
          <w:sz w:val="28"/>
          <w:szCs w:val="28"/>
        </w:rPr>
        <w:t xml:space="preserve"> </w:t>
      </w:r>
      <w:r w:rsidRPr="00F243F5">
        <w:rPr>
          <w:rFonts w:ascii="Times New Roman" w:eastAsia="Times New Roman" w:hAnsi="Times New Roman" w:cs="Times New Roman"/>
          <w:sz w:val="28"/>
          <w:szCs w:val="28"/>
          <w:lang w:eastAsia="ru-RU"/>
        </w:rPr>
        <w:t xml:space="preserve">Совет Буинского муниципального района Республики Татарстан </w:t>
      </w:r>
    </w:p>
    <w:p w:rsidR="00F243F5" w:rsidRDefault="00F243F5" w:rsidP="00F243F5">
      <w:pPr>
        <w:spacing w:after="0" w:line="240" w:lineRule="auto"/>
        <w:ind w:firstLine="709"/>
        <w:jc w:val="both"/>
        <w:outlineLvl w:val="0"/>
        <w:rPr>
          <w:rFonts w:ascii="Times New Roman" w:eastAsia="Times New Roman" w:hAnsi="Times New Roman" w:cs="Times New Roman"/>
          <w:sz w:val="28"/>
          <w:szCs w:val="28"/>
          <w:lang w:eastAsia="ru-RU"/>
        </w:rPr>
      </w:pPr>
    </w:p>
    <w:p w:rsidR="002F5D28" w:rsidRPr="00F243F5" w:rsidRDefault="00F243F5" w:rsidP="00F243F5">
      <w:pPr>
        <w:spacing w:after="0" w:line="240" w:lineRule="auto"/>
        <w:jc w:val="center"/>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РЕШИЛ</w:t>
      </w:r>
      <w:r w:rsidR="002F5D28" w:rsidRPr="00F243F5">
        <w:rPr>
          <w:rFonts w:ascii="Times New Roman" w:eastAsia="Times New Roman" w:hAnsi="Times New Roman" w:cs="Times New Roman"/>
          <w:sz w:val="28"/>
          <w:szCs w:val="28"/>
          <w:lang w:eastAsia="ru-RU"/>
        </w:rPr>
        <w:t>:</w:t>
      </w:r>
    </w:p>
    <w:p w:rsidR="002F5D28" w:rsidRPr="00F243F5" w:rsidRDefault="002F5D28" w:rsidP="00F243F5">
      <w:pPr>
        <w:spacing w:after="0" w:line="240" w:lineRule="auto"/>
        <w:ind w:firstLine="709"/>
        <w:jc w:val="both"/>
        <w:outlineLvl w:val="0"/>
        <w:rPr>
          <w:rFonts w:ascii="Times New Roman" w:eastAsia="Times New Roman" w:hAnsi="Times New Roman" w:cs="Times New Roman"/>
          <w:sz w:val="28"/>
          <w:szCs w:val="28"/>
          <w:lang w:eastAsia="ru-RU"/>
        </w:rPr>
      </w:pPr>
    </w:p>
    <w:p w:rsidR="002F5D28" w:rsidRPr="00F243F5" w:rsidRDefault="002F5D28"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1. В Стратегию социально-экономического развития Буинского муниципального района на 2016-2021 годы и плановый период до 2030 года</w:t>
      </w:r>
      <w:r w:rsidR="00630FF3" w:rsidRPr="00F243F5">
        <w:rPr>
          <w:rFonts w:ascii="Times New Roman" w:eastAsia="Times New Roman" w:hAnsi="Times New Roman" w:cs="Times New Roman"/>
          <w:sz w:val="28"/>
          <w:szCs w:val="28"/>
          <w:lang w:eastAsia="ru-RU"/>
        </w:rPr>
        <w:t>, утвержденную решением Совета Буинского муниципального района от 15.07.2016 №4-9 «Об утверждении Стратегии</w:t>
      </w:r>
      <w:r w:rsidR="00F243F5">
        <w:rPr>
          <w:rFonts w:ascii="Times New Roman" w:eastAsia="Times New Roman" w:hAnsi="Times New Roman" w:cs="Times New Roman"/>
          <w:sz w:val="28"/>
          <w:szCs w:val="28"/>
          <w:lang w:eastAsia="ru-RU"/>
        </w:rPr>
        <w:t xml:space="preserve"> </w:t>
      </w:r>
      <w:r w:rsidR="00630FF3" w:rsidRPr="00F243F5">
        <w:rPr>
          <w:rFonts w:ascii="Times New Roman" w:eastAsia="Times New Roman" w:hAnsi="Times New Roman" w:cs="Times New Roman"/>
          <w:sz w:val="28"/>
          <w:szCs w:val="28"/>
          <w:lang w:eastAsia="ru-RU"/>
        </w:rPr>
        <w:t xml:space="preserve">социально-экономического развития Буинского муниципального района </w:t>
      </w:r>
      <w:bookmarkStart w:id="0" w:name="_GoBack"/>
      <w:bookmarkEnd w:id="0"/>
      <w:r w:rsidR="00630FF3" w:rsidRPr="00F243F5">
        <w:rPr>
          <w:rFonts w:ascii="Times New Roman" w:eastAsia="Times New Roman" w:hAnsi="Times New Roman" w:cs="Times New Roman"/>
          <w:sz w:val="28"/>
          <w:szCs w:val="28"/>
          <w:lang w:eastAsia="ru-RU"/>
        </w:rPr>
        <w:t>на 2016-2021 годы и плановый период до 2030 года» внести следующие изменения и дополнения:</w:t>
      </w:r>
    </w:p>
    <w:p w:rsidR="00D62A83" w:rsidRPr="00F243F5" w:rsidRDefault="00D62A83"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1.1. Пункт 2.2.2.7.3 изменить и изложить в следующей редакции:</w:t>
      </w:r>
    </w:p>
    <w:p w:rsidR="00D62A83" w:rsidRPr="00F243F5" w:rsidRDefault="00D62A83" w:rsidP="00D62A83">
      <w:pPr>
        <w:spacing w:after="0" w:line="240" w:lineRule="auto"/>
        <w:jc w:val="center"/>
        <w:outlineLvl w:val="0"/>
        <w:rPr>
          <w:rFonts w:ascii="Times New Roman" w:eastAsia="Times New Roman" w:hAnsi="Times New Roman" w:cs="Times New Roman"/>
          <w:sz w:val="28"/>
          <w:szCs w:val="28"/>
          <w:lang w:eastAsia="ru-RU"/>
        </w:rPr>
      </w:pPr>
    </w:p>
    <w:p w:rsidR="00D62A83" w:rsidRPr="00F243F5" w:rsidRDefault="00D62A83" w:rsidP="00D62A83">
      <w:pPr>
        <w:spacing w:after="0" w:line="240" w:lineRule="auto"/>
        <w:jc w:val="center"/>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2.2.7.3. Культура</w:t>
      </w:r>
    </w:p>
    <w:p w:rsidR="00D62A83" w:rsidRPr="00F243F5" w:rsidRDefault="00D62A83" w:rsidP="00D62A83">
      <w:pPr>
        <w:spacing w:after="0" w:line="240" w:lineRule="auto"/>
        <w:jc w:val="both"/>
        <w:outlineLvl w:val="0"/>
        <w:rPr>
          <w:rFonts w:ascii="Times New Roman" w:eastAsia="Times New Roman" w:hAnsi="Times New Roman" w:cs="Times New Roman"/>
          <w:sz w:val="28"/>
          <w:szCs w:val="28"/>
          <w:lang w:eastAsia="ru-RU"/>
        </w:rPr>
      </w:pPr>
    </w:p>
    <w:p w:rsidR="00D62A83" w:rsidRPr="00F243F5" w:rsidRDefault="00D62A83"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 xml:space="preserve">В Буинском муниципальном районе функционируют 36 библиотек, 59 учреждений культурно-досугового типа, 1 учреждение дополнительного образования, драматический театр,2 музея. </w:t>
      </w:r>
    </w:p>
    <w:p w:rsidR="00D62A83" w:rsidRPr="00F243F5" w:rsidRDefault="00D62A83"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В муниципальных учреждениях культуры и искусства работают 240 человек.</w:t>
      </w:r>
    </w:p>
    <w:p w:rsidR="00D62A83" w:rsidRPr="00F243F5" w:rsidRDefault="00D62A83"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 xml:space="preserve">В районе осуществляют свою деятельность 468 клубных формирований, посещаемых 5775 участниками. Из общего числа формирований – 354 являются </w:t>
      </w:r>
      <w:r w:rsidRPr="00F243F5">
        <w:rPr>
          <w:rFonts w:ascii="Times New Roman" w:eastAsia="Times New Roman" w:hAnsi="Times New Roman" w:cs="Times New Roman"/>
          <w:sz w:val="28"/>
          <w:szCs w:val="28"/>
          <w:lang w:eastAsia="ru-RU"/>
        </w:rPr>
        <w:lastRenderedPageBreak/>
        <w:t>формированиями самодеятельного народного творчества, в том числе 185 для детей до 14 лет численностью 2394 человек.</w:t>
      </w:r>
    </w:p>
    <w:p w:rsidR="00D62A83" w:rsidRPr="00F243F5" w:rsidRDefault="00D62A83"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Книжный фонд муниципальных общедоступных библиотек составляет 581448 экз. книг, число читателей 33975 человек. Таким образом, охват населения библиотечным обслуживанием составляет 73,8 %.</w:t>
      </w:r>
    </w:p>
    <w:p w:rsidR="00D62A83" w:rsidRPr="00F243F5" w:rsidRDefault="00D62A83"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На территории Буинского муниципального района постоянно осуществляются различные культурные проекты – фестивально-конкурсные, как в сфере профессионального искусства, так и в самодеятельном творчестве и гастрольно-концертные.</w:t>
      </w:r>
    </w:p>
    <w:p w:rsidR="00D62A83" w:rsidRPr="00F243F5" w:rsidRDefault="00D62A83" w:rsidP="00F243F5">
      <w:pPr>
        <w:spacing w:after="0" w:line="240" w:lineRule="auto"/>
        <w:ind w:firstLine="709"/>
        <w:jc w:val="both"/>
        <w:outlineLvl w:val="0"/>
        <w:rPr>
          <w:rFonts w:ascii="Times New Roman" w:eastAsia="Times New Roman" w:hAnsi="Times New Roman" w:cs="Times New Roman"/>
          <w:sz w:val="28"/>
          <w:szCs w:val="28"/>
          <w:lang w:eastAsia="ru-RU"/>
        </w:rPr>
      </w:pPr>
    </w:p>
    <w:p w:rsidR="00D62A83" w:rsidRPr="00F243F5" w:rsidRDefault="00D62A83"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 xml:space="preserve">1.2. </w:t>
      </w:r>
      <w:r w:rsidR="00724D67" w:rsidRPr="00F243F5">
        <w:rPr>
          <w:rFonts w:ascii="Times New Roman" w:eastAsia="Times New Roman" w:hAnsi="Times New Roman" w:cs="Times New Roman"/>
          <w:sz w:val="28"/>
          <w:szCs w:val="28"/>
          <w:lang w:eastAsia="ru-RU"/>
        </w:rPr>
        <w:t>Пункт 2.2.2.7.4 изменить и изложить в следующей редакции:</w:t>
      </w:r>
    </w:p>
    <w:p w:rsidR="00724D67" w:rsidRPr="00F243F5" w:rsidRDefault="00724D67" w:rsidP="00F243F5">
      <w:pPr>
        <w:spacing w:after="0" w:line="240" w:lineRule="auto"/>
        <w:ind w:firstLine="709"/>
        <w:jc w:val="both"/>
        <w:outlineLvl w:val="0"/>
        <w:rPr>
          <w:rFonts w:ascii="Times New Roman" w:eastAsia="Times New Roman" w:hAnsi="Times New Roman" w:cs="Times New Roman"/>
          <w:sz w:val="28"/>
          <w:szCs w:val="28"/>
          <w:lang w:eastAsia="ru-RU"/>
        </w:rPr>
      </w:pPr>
    </w:p>
    <w:p w:rsidR="00724D67" w:rsidRPr="00F243F5" w:rsidRDefault="00724D67" w:rsidP="00724D67">
      <w:pPr>
        <w:spacing w:after="0" w:line="240" w:lineRule="auto"/>
        <w:jc w:val="center"/>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2.2.7.4. Молодежная политика</w:t>
      </w:r>
    </w:p>
    <w:p w:rsidR="00724D67" w:rsidRPr="00F243F5" w:rsidRDefault="00724D67" w:rsidP="00724D67">
      <w:pPr>
        <w:spacing w:after="0" w:line="240" w:lineRule="auto"/>
        <w:jc w:val="both"/>
        <w:outlineLvl w:val="0"/>
        <w:rPr>
          <w:rFonts w:ascii="Times New Roman" w:eastAsia="Times New Roman" w:hAnsi="Times New Roman" w:cs="Times New Roman"/>
          <w:sz w:val="28"/>
          <w:szCs w:val="28"/>
          <w:lang w:eastAsia="ru-RU"/>
        </w:rPr>
      </w:pPr>
    </w:p>
    <w:p w:rsidR="00724D67" w:rsidRPr="00F243F5" w:rsidRDefault="00724D67"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В Буинском муниципальном районе система учреждений молодежной политики представлена Центром формирований по охране общественного порядка "Форпост-Правопорядок", который включает 43 отряда по профилактике правонарушений молодежного правоохранительного движения по охране общественного порядка, из них 39 школьных, 3 студенческих, 1 рабочее формирование. Количество участников молодежного правоохранительного движения в возрасте от 14 до 30 лет составляет 535 человек, в том числе-425 участников школьных формирований, 100 человек -из студенческих, 10-из рабочих. В учреждении Центра работают 5 сотрудников.</w:t>
      </w:r>
    </w:p>
    <w:p w:rsidR="00724D67" w:rsidRPr="00F243F5" w:rsidRDefault="00724D67"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Имеется районное отделение Аграрного молодежного объединения РТ, с охватом 105 человек, Центр добровольческого движения, объединивший 6 добровольческих отрядов с охватом 1200 человек.</w:t>
      </w:r>
    </w:p>
    <w:p w:rsidR="00724D67" w:rsidRPr="00F243F5" w:rsidRDefault="00724D67"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Действуют Студенческие трудовые отряды с общим охватом 97 человек.</w:t>
      </w:r>
    </w:p>
    <w:p w:rsidR="00724D67" w:rsidRPr="00F243F5" w:rsidRDefault="00724D67"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На базе общеобразовательных и средне-специальных учебных заведений функционируют 7 объединений по патриотическому воспитанию и допризывной подготовке детей и молодежи, из них 5 военно-патриотических клубов, с охватом 75 человек и 2 поисковых отряда, численностью 35 человек.</w:t>
      </w:r>
    </w:p>
    <w:p w:rsidR="00284E6D" w:rsidRPr="00F243F5" w:rsidRDefault="00284E6D" w:rsidP="00724D67">
      <w:pPr>
        <w:spacing w:after="0" w:line="240" w:lineRule="auto"/>
        <w:ind w:firstLine="567"/>
        <w:jc w:val="both"/>
        <w:outlineLvl w:val="0"/>
        <w:rPr>
          <w:rFonts w:ascii="Times New Roman" w:eastAsia="Times New Roman" w:hAnsi="Times New Roman" w:cs="Times New Roman"/>
          <w:sz w:val="28"/>
          <w:szCs w:val="28"/>
          <w:lang w:eastAsia="ru-RU"/>
        </w:rPr>
      </w:pPr>
    </w:p>
    <w:p w:rsidR="00284E6D" w:rsidRPr="00F243F5" w:rsidRDefault="00284E6D" w:rsidP="00F243F5">
      <w:pPr>
        <w:spacing w:after="0" w:line="240" w:lineRule="auto"/>
        <w:ind w:firstLine="708"/>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1.3. Пункт 2.2.2.7.5 изменить и изложить в следующей редакции:</w:t>
      </w:r>
    </w:p>
    <w:p w:rsidR="00284E6D" w:rsidRPr="00F243F5" w:rsidRDefault="00284E6D" w:rsidP="00284E6D">
      <w:pPr>
        <w:spacing w:after="0" w:line="240" w:lineRule="auto"/>
        <w:jc w:val="both"/>
        <w:outlineLvl w:val="0"/>
        <w:rPr>
          <w:rFonts w:ascii="Times New Roman" w:eastAsia="Times New Roman" w:hAnsi="Times New Roman" w:cs="Times New Roman"/>
          <w:sz w:val="28"/>
          <w:szCs w:val="28"/>
          <w:lang w:eastAsia="ru-RU"/>
        </w:rPr>
      </w:pPr>
    </w:p>
    <w:p w:rsidR="00284E6D" w:rsidRPr="00F243F5" w:rsidRDefault="00284E6D" w:rsidP="00284E6D">
      <w:pPr>
        <w:spacing w:after="0" w:line="240" w:lineRule="auto"/>
        <w:jc w:val="center"/>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2.2.7.5. Физическая культура и спорт</w:t>
      </w:r>
    </w:p>
    <w:p w:rsidR="00284E6D" w:rsidRPr="00F243F5" w:rsidRDefault="00284E6D" w:rsidP="00284E6D">
      <w:pPr>
        <w:spacing w:after="0" w:line="240" w:lineRule="auto"/>
        <w:jc w:val="both"/>
        <w:outlineLvl w:val="0"/>
        <w:rPr>
          <w:rFonts w:ascii="Times New Roman" w:eastAsia="Times New Roman" w:hAnsi="Times New Roman" w:cs="Times New Roman"/>
          <w:sz w:val="28"/>
          <w:szCs w:val="28"/>
          <w:lang w:eastAsia="ru-RU"/>
        </w:rPr>
      </w:pPr>
    </w:p>
    <w:p w:rsidR="00284E6D" w:rsidRPr="00F243F5" w:rsidRDefault="00284E6D"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Численность населения Буинского муниципального района, систематически занимающегося физической культурой и спортом, составляет 19686 человек (47,17% от общего числа населения). Этот показатель заметно превышает средний республиканский показатель (45,7%).</w:t>
      </w:r>
    </w:p>
    <w:p w:rsidR="00284E6D" w:rsidRPr="00F243F5" w:rsidRDefault="00284E6D"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В Буинском муниципальном районе физкультурно-оздоровительной работой в школах охвачено 4598 учащихся, из них 1419 учеников занимаются в спортивных секциях, что составляет (31% от общего числа обучающихся в образовательных учреждениях).</w:t>
      </w:r>
    </w:p>
    <w:p w:rsidR="00284E6D" w:rsidRPr="00F243F5" w:rsidRDefault="00284E6D"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lastRenderedPageBreak/>
        <w:t>В районе действуют 128 кружков по месту жительства, из них 17- спортивного направления. Охвачено 3596 детей и подростков.</w:t>
      </w:r>
    </w:p>
    <w:p w:rsidR="00284E6D" w:rsidRPr="00F243F5" w:rsidRDefault="00284E6D"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 xml:space="preserve">Выполнение данного оценочного показателя обеспечивается работой спортивных школ Буинского муниципального района. Возникла необходимость в расширении спортивной инфраструктуры. </w:t>
      </w:r>
    </w:p>
    <w:p w:rsidR="00284E6D" w:rsidRPr="00F243F5" w:rsidRDefault="00284E6D"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 xml:space="preserve">Имеющиеся спортивные залы ДЮСШ перегружены, обладают низкой пропускной способностью и не соответствуют современным требованиям проведения соревнований республиканского масштаба. </w:t>
      </w:r>
    </w:p>
    <w:p w:rsidR="00284E6D" w:rsidRPr="00F243F5" w:rsidRDefault="00284E6D"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 xml:space="preserve">В спортивных залах одновременно тренируются несколько групп по разным видам спорта. Увеличилось количество трудовых коллективов, занимающихся в вечернее время. </w:t>
      </w:r>
    </w:p>
    <w:p w:rsidR="00284E6D" w:rsidRPr="00F243F5" w:rsidRDefault="00284E6D"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Это свидетельствует о том, что необходимо строительство дополнительно физкультурно-оздоровительного комплекса.</w:t>
      </w:r>
    </w:p>
    <w:p w:rsidR="00393BC9" w:rsidRPr="00F243F5" w:rsidRDefault="00393BC9" w:rsidP="00F243F5">
      <w:pPr>
        <w:spacing w:after="0" w:line="240" w:lineRule="auto"/>
        <w:ind w:firstLine="709"/>
        <w:jc w:val="both"/>
        <w:outlineLvl w:val="0"/>
        <w:rPr>
          <w:rFonts w:ascii="Times New Roman" w:eastAsia="Times New Roman" w:hAnsi="Times New Roman" w:cs="Times New Roman"/>
          <w:sz w:val="28"/>
          <w:szCs w:val="28"/>
          <w:lang w:eastAsia="ru-RU"/>
        </w:rPr>
      </w:pPr>
    </w:p>
    <w:p w:rsidR="00D7676A" w:rsidRPr="00F243F5" w:rsidRDefault="00393BC9"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1.4. Пункт 3.2.1.5.</w:t>
      </w:r>
      <w:r w:rsidR="00D7676A" w:rsidRPr="00F243F5">
        <w:rPr>
          <w:rFonts w:ascii="Times New Roman" w:eastAsia="Times New Roman" w:hAnsi="Times New Roman" w:cs="Times New Roman"/>
          <w:sz w:val="28"/>
          <w:szCs w:val="28"/>
          <w:lang w:eastAsia="ru-RU"/>
        </w:rPr>
        <w:t>:</w:t>
      </w:r>
    </w:p>
    <w:p w:rsidR="00D7676A" w:rsidRPr="00F243F5" w:rsidRDefault="001C3E8D"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у</w:t>
      </w:r>
      <w:r w:rsidR="00D7676A" w:rsidRPr="00F243F5">
        <w:rPr>
          <w:rFonts w:ascii="Times New Roman" w:eastAsia="Times New Roman" w:hAnsi="Times New Roman" w:cs="Times New Roman"/>
          <w:sz w:val="28"/>
          <w:szCs w:val="28"/>
          <w:lang w:eastAsia="ru-RU"/>
        </w:rPr>
        <w:t>далить слова «- строительство лыжной базы (построена, данный пункт утратил силу)»</w:t>
      </w:r>
    </w:p>
    <w:p w:rsidR="00D7676A" w:rsidRPr="00F243F5" w:rsidRDefault="00D7676A" w:rsidP="00F243F5">
      <w:pPr>
        <w:spacing w:after="0" w:line="240" w:lineRule="auto"/>
        <w:ind w:firstLine="709"/>
        <w:jc w:val="both"/>
        <w:outlineLvl w:val="0"/>
        <w:rPr>
          <w:rFonts w:ascii="Times New Roman" w:eastAsia="Times New Roman" w:hAnsi="Times New Roman" w:cs="Times New Roman"/>
          <w:sz w:val="28"/>
          <w:szCs w:val="28"/>
          <w:lang w:eastAsia="ru-RU"/>
        </w:rPr>
      </w:pPr>
    </w:p>
    <w:p w:rsidR="00393BC9" w:rsidRPr="00F243F5" w:rsidRDefault="00D7676A" w:rsidP="00F243F5">
      <w:pPr>
        <w:spacing w:after="0" w:line="240" w:lineRule="auto"/>
        <w:ind w:firstLine="709"/>
        <w:jc w:val="both"/>
        <w:outlineLvl w:val="0"/>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 xml:space="preserve">1.5. </w:t>
      </w:r>
      <w:r w:rsidR="001C3E8D" w:rsidRPr="00F243F5">
        <w:rPr>
          <w:rFonts w:ascii="Times New Roman" w:eastAsia="Times New Roman" w:hAnsi="Times New Roman" w:cs="Times New Roman"/>
          <w:sz w:val="28"/>
          <w:szCs w:val="28"/>
          <w:lang w:eastAsia="ru-RU"/>
        </w:rPr>
        <w:t>Пункт 2.2.7.2. изменить и изложить в следующей редакции:</w:t>
      </w:r>
    </w:p>
    <w:p w:rsidR="005F13EB" w:rsidRPr="00F243F5" w:rsidRDefault="005F13EB" w:rsidP="005F13EB">
      <w:pPr>
        <w:tabs>
          <w:tab w:val="left" w:pos="3828"/>
        </w:tabs>
        <w:suppressAutoHyphens/>
        <w:overflowPunct w:val="0"/>
        <w:spacing w:after="0" w:line="100" w:lineRule="atLeast"/>
        <w:jc w:val="center"/>
        <w:rPr>
          <w:rFonts w:ascii="Times New Roman" w:eastAsia="Times New Roman" w:hAnsi="Times New Roman" w:cs="Times New Roman"/>
          <w:b/>
          <w:sz w:val="28"/>
          <w:szCs w:val="28"/>
          <w:highlight w:val="yellow"/>
          <w:lang w:eastAsia="ar-SA"/>
        </w:rPr>
      </w:pPr>
    </w:p>
    <w:p w:rsidR="005F13EB" w:rsidRPr="00F243F5" w:rsidRDefault="005F13EB" w:rsidP="005F13EB">
      <w:pPr>
        <w:tabs>
          <w:tab w:val="left" w:pos="3828"/>
        </w:tabs>
        <w:suppressAutoHyphens/>
        <w:overflowPunct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2.2.7.2. Образовательный потенциал</w:t>
      </w:r>
    </w:p>
    <w:p w:rsidR="005F13EB" w:rsidRPr="00F243F5" w:rsidRDefault="005F13EB" w:rsidP="005F13EB">
      <w:pPr>
        <w:tabs>
          <w:tab w:val="left" w:pos="3828"/>
        </w:tabs>
        <w:suppressAutoHyphens/>
        <w:overflowPunct w:val="0"/>
        <w:spacing w:after="0" w:line="100" w:lineRule="atLeast"/>
        <w:jc w:val="both"/>
        <w:rPr>
          <w:rFonts w:ascii="Times New Roman" w:eastAsia="Times New Roman" w:hAnsi="Times New Roman" w:cs="Times New Roman"/>
          <w:sz w:val="28"/>
          <w:szCs w:val="28"/>
          <w:lang w:eastAsia="ar-SA"/>
        </w:rPr>
      </w:pPr>
    </w:p>
    <w:p w:rsidR="005F13EB" w:rsidRPr="00F243F5" w:rsidRDefault="005F13EB" w:rsidP="00F243F5">
      <w:pPr>
        <w:tabs>
          <w:tab w:val="left" w:pos="3828"/>
        </w:tabs>
        <w:suppressAutoHyphens/>
        <w:overflowPunct w:val="0"/>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Система образования обеспечивает формирование человеческого капитала, соответствующего потребностям общества и экономики в целом.</w:t>
      </w:r>
    </w:p>
    <w:p w:rsidR="005F13EB" w:rsidRPr="00F243F5" w:rsidRDefault="005F13EB" w:rsidP="00F243F5">
      <w:pPr>
        <w:tabs>
          <w:tab w:val="left" w:pos="0"/>
          <w:tab w:val="left" w:pos="3828"/>
        </w:tabs>
        <w:spacing w:after="0" w:line="240" w:lineRule="auto"/>
        <w:ind w:firstLine="709"/>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bCs/>
          <w:iCs/>
          <w:sz w:val="28"/>
          <w:szCs w:val="28"/>
          <w:lang w:eastAsia="ru-RU"/>
        </w:rPr>
        <w:t xml:space="preserve">Система образования </w:t>
      </w:r>
      <w:r w:rsidRPr="00F243F5">
        <w:rPr>
          <w:rFonts w:ascii="Times New Roman" w:eastAsia="Times New Roman" w:hAnsi="Times New Roman" w:cs="Times New Roman"/>
          <w:sz w:val="28"/>
          <w:szCs w:val="28"/>
          <w:lang w:eastAsia="ru-RU"/>
        </w:rPr>
        <w:t>Буинского муниципального района включает 79 учреждения образования, из них: 33 общеобразовательных учреждений, 43 дошкольных образовательных учреждений, 3 учреждения дополнительного образования детей. В школах района учатся 4 612 обучающихся, детские сады посещают 2033 ребенка.</w:t>
      </w:r>
    </w:p>
    <w:p w:rsidR="005F13EB" w:rsidRDefault="005F13EB" w:rsidP="00F243F5">
      <w:pPr>
        <w:suppressAutoHyphens/>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Согласно статистике за последние 7 лет в районе родился 3551 ребенок.</w:t>
      </w:r>
    </w:p>
    <w:p w:rsidR="00F243F5" w:rsidRPr="00F243F5" w:rsidRDefault="00F243F5" w:rsidP="00F243F5">
      <w:pPr>
        <w:suppressAutoHyphens/>
        <w:spacing w:after="0" w:line="100" w:lineRule="atLeast"/>
        <w:ind w:firstLine="709"/>
        <w:jc w:val="both"/>
        <w:rPr>
          <w:rFonts w:ascii="Times New Roman" w:eastAsia="Times New Roman" w:hAnsi="Times New Roman" w:cs="Times New Roman"/>
          <w:sz w:val="28"/>
          <w:szCs w:val="28"/>
          <w:lang w:eastAsia="ar-SA"/>
        </w:rPr>
      </w:pPr>
    </w:p>
    <w:p w:rsidR="005F13EB" w:rsidRPr="00F243F5" w:rsidRDefault="005F13EB" w:rsidP="005F13EB">
      <w:pPr>
        <w:suppressAutoHyphens/>
        <w:spacing w:after="0" w:line="100" w:lineRule="atLeast"/>
        <w:ind w:firstLine="709"/>
        <w:jc w:val="righ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Таблица №9</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985"/>
        <w:gridCol w:w="1984"/>
        <w:gridCol w:w="2297"/>
      </w:tblGrid>
      <w:tr w:rsidR="005F13EB" w:rsidRPr="00F243F5" w:rsidTr="00A349A2">
        <w:trPr>
          <w:trHeight w:val="688"/>
        </w:trPr>
        <w:tc>
          <w:tcPr>
            <w:tcW w:w="2980"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ar-SA"/>
              </w:rPr>
            </w:pPr>
          </w:p>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ar-SA"/>
              </w:rPr>
            </w:pPr>
            <w:r w:rsidRPr="00F243F5">
              <w:rPr>
                <w:rFonts w:ascii="Times New Roman" w:eastAsia="Calibri" w:hAnsi="Times New Roman" w:cs="Times New Roman"/>
                <w:sz w:val="28"/>
                <w:szCs w:val="28"/>
                <w:lang w:eastAsia="ar-SA"/>
              </w:rPr>
              <w:t>Года</w:t>
            </w:r>
          </w:p>
        </w:tc>
        <w:tc>
          <w:tcPr>
            <w:tcW w:w="1985"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ar-SA"/>
              </w:rPr>
            </w:pPr>
            <w:r w:rsidRPr="00F243F5">
              <w:rPr>
                <w:rFonts w:ascii="Times New Roman" w:eastAsia="Calibri" w:hAnsi="Times New Roman" w:cs="Times New Roman"/>
                <w:sz w:val="28"/>
                <w:szCs w:val="28"/>
                <w:lang w:eastAsia="ar-SA"/>
              </w:rPr>
              <w:t>рождение</w:t>
            </w:r>
          </w:p>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ar-SA"/>
              </w:rPr>
            </w:pPr>
            <w:r w:rsidRPr="00F243F5">
              <w:rPr>
                <w:rFonts w:ascii="Times New Roman" w:eastAsia="Calibri" w:hAnsi="Times New Roman" w:cs="Times New Roman"/>
                <w:sz w:val="28"/>
                <w:szCs w:val="28"/>
                <w:lang w:eastAsia="ar-SA"/>
              </w:rPr>
              <w:t>(город)</w:t>
            </w:r>
          </w:p>
        </w:tc>
        <w:tc>
          <w:tcPr>
            <w:tcW w:w="1984"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ar-SA"/>
              </w:rPr>
            </w:pPr>
            <w:r w:rsidRPr="00F243F5">
              <w:rPr>
                <w:rFonts w:ascii="Times New Roman" w:eastAsia="Calibri" w:hAnsi="Times New Roman" w:cs="Times New Roman"/>
                <w:sz w:val="28"/>
                <w:szCs w:val="28"/>
                <w:lang w:eastAsia="ar-SA"/>
              </w:rPr>
              <w:t>рождение</w:t>
            </w:r>
          </w:p>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ar-SA"/>
              </w:rPr>
            </w:pPr>
            <w:r w:rsidRPr="00F243F5">
              <w:rPr>
                <w:rFonts w:ascii="Times New Roman" w:eastAsia="Calibri" w:hAnsi="Times New Roman" w:cs="Times New Roman"/>
                <w:sz w:val="28"/>
                <w:szCs w:val="28"/>
                <w:lang w:eastAsia="ar-SA"/>
              </w:rPr>
              <w:t>(село)</w:t>
            </w:r>
          </w:p>
        </w:tc>
        <w:tc>
          <w:tcPr>
            <w:tcW w:w="2297"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ar-SA"/>
              </w:rPr>
            </w:pPr>
          </w:p>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ar-SA"/>
              </w:rPr>
            </w:pPr>
            <w:r w:rsidRPr="00F243F5">
              <w:rPr>
                <w:rFonts w:ascii="Times New Roman" w:eastAsia="Calibri" w:hAnsi="Times New Roman" w:cs="Times New Roman"/>
                <w:sz w:val="28"/>
                <w:szCs w:val="28"/>
                <w:lang w:eastAsia="ar-SA"/>
              </w:rPr>
              <w:t>всего</w:t>
            </w:r>
          </w:p>
        </w:tc>
      </w:tr>
      <w:tr w:rsidR="005F13EB" w:rsidRPr="00F243F5" w:rsidTr="00A349A2">
        <w:trPr>
          <w:trHeight w:val="418"/>
        </w:trPr>
        <w:tc>
          <w:tcPr>
            <w:tcW w:w="2980"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2009</w:t>
            </w:r>
          </w:p>
        </w:tc>
        <w:tc>
          <w:tcPr>
            <w:tcW w:w="1985"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265</w:t>
            </w:r>
          </w:p>
        </w:tc>
        <w:tc>
          <w:tcPr>
            <w:tcW w:w="1984" w:type="dxa"/>
          </w:tcPr>
          <w:p w:rsidR="005F13EB" w:rsidRPr="00F243F5" w:rsidRDefault="005F13EB" w:rsidP="005F13EB">
            <w:pPr>
              <w:tabs>
                <w:tab w:val="left" w:pos="3828"/>
              </w:tabs>
              <w:suppressAutoHyphens/>
              <w:spacing w:after="0" w:line="240" w:lineRule="auto"/>
              <w:ind w:hanging="288"/>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237</w:t>
            </w:r>
          </w:p>
        </w:tc>
        <w:tc>
          <w:tcPr>
            <w:tcW w:w="2297"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502</w:t>
            </w:r>
          </w:p>
        </w:tc>
      </w:tr>
      <w:tr w:rsidR="005F13EB" w:rsidRPr="00F243F5" w:rsidTr="00A349A2">
        <w:trPr>
          <w:trHeight w:val="411"/>
        </w:trPr>
        <w:tc>
          <w:tcPr>
            <w:tcW w:w="2980"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2010</w:t>
            </w:r>
          </w:p>
        </w:tc>
        <w:tc>
          <w:tcPr>
            <w:tcW w:w="1985"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327</w:t>
            </w:r>
          </w:p>
        </w:tc>
        <w:tc>
          <w:tcPr>
            <w:tcW w:w="1984" w:type="dxa"/>
          </w:tcPr>
          <w:p w:rsidR="005F13EB" w:rsidRPr="00F243F5" w:rsidRDefault="005F13EB" w:rsidP="005F13EB">
            <w:pPr>
              <w:tabs>
                <w:tab w:val="left" w:pos="3828"/>
              </w:tabs>
              <w:suppressAutoHyphens/>
              <w:spacing w:after="0" w:line="240" w:lineRule="auto"/>
              <w:ind w:hanging="288"/>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199</w:t>
            </w:r>
          </w:p>
        </w:tc>
        <w:tc>
          <w:tcPr>
            <w:tcW w:w="2297"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526</w:t>
            </w:r>
          </w:p>
        </w:tc>
      </w:tr>
      <w:tr w:rsidR="005F13EB" w:rsidRPr="00F243F5" w:rsidTr="00A349A2">
        <w:trPr>
          <w:trHeight w:val="405"/>
        </w:trPr>
        <w:tc>
          <w:tcPr>
            <w:tcW w:w="2980"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2011</w:t>
            </w:r>
          </w:p>
        </w:tc>
        <w:tc>
          <w:tcPr>
            <w:tcW w:w="1985"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321</w:t>
            </w:r>
          </w:p>
        </w:tc>
        <w:tc>
          <w:tcPr>
            <w:tcW w:w="1984" w:type="dxa"/>
          </w:tcPr>
          <w:p w:rsidR="005F13EB" w:rsidRPr="00F243F5" w:rsidRDefault="005F13EB" w:rsidP="005F13EB">
            <w:pPr>
              <w:tabs>
                <w:tab w:val="left" w:pos="3828"/>
              </w:tabs>
              <w:suppressAutoHyphens/>
              <w:spacing w:after="0" w:line="240" w:lineRule="auto"/>
              <w:ind w:hanging="288"/>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174</w:t>
            </w:r>
          </w:p>
        </w:tc>
        <w:tc>
          <w:tcPr>
            <w:tcW w:w="2297"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495</w:t>
            </w:r>
          </w:p>
        </w:tc>
      </w:tr>
      <w:tr w:rsidR="005F13EB" w:rsidRPr="00F243F5" w:rsidTr="00A349A2">
        <w:trPr>
          <w:trHeight w:val="398"/>
        </w:trPr>
        <w:tc>
          <w:tcPr>
            <w:tcW w:w="2980"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i/>
                <w:sz w:val="28"/>
                <w:szCs w:val="28"/>
                <w:lang w:eastAsia="ar-SA"/>
              </w:rPr>
            </w:pPr>
            <w:r w:rsidRPr="00F243F5">
              <w:rPr>
                <w:rFonts w:ascii="Times New Roman" w:eastAsia="Times New Roman" w:hAnsi="Times New Roman" w:cs="Times New Roman"/>
                <w:i/>
                <w:sz w:val="28"/>
                <w:szCs w:val="28"/>
                <w:lang w:eastAsia="ar-SA"/>
              </w:rPr>
              <w:t>2012</w:t>
            </w:r>
          </w:p>
        </w:tc>
        <w:tc>
          <w:tcPr>
            <w:tcW w:w="1985"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329</w:t>
            </w:r>
          </w:p>
        </w:tc>
        <w:tc>
          <w:tcPr>
            <w:tcW w:w="1984" w:type="dxa"/>
          </w:tcPr>
          <w:p w:rsidR="005F13EB" w:rsidRPr="00F243F5" w:rsidRDefault="005F13EB" w:rsidP="005F13EB">
            <w:pPr>
              <w:tabs>
                <w:tab w:val="left" w:pos="3828"/>
              </w:tabs>
              <w:suppressAutoHyphens/>
              <w:spacing w:after="0" w:line="240" w:lineRule="auto"/>
              <w:ind w:hanging="288"/>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188</w:t>
            </w:r>
          </w:p>
        </w:tc>
        <w:tc>
          <w:tcPr>
            <w:tcW w:w="2297"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517</w:t>
            </w:r>
          </w:p>
        </w:tc>
      </w:tr>
      <w:tr w:rsidR="005F13EB" w:rsidRPr="00F243F5" w:rsidTr="00A349A2">
        <w:trPr>
          <w:trHeight w:val="393"/>
        </w:trPr>
        <w:tc>
          <w:tcPr>
            <w:tcW w:w="2980"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i/>
                <w:sz w:val="28"/>
                <w:szCs w:val="28"/>
                <w:lang w:eastAsia="ar-SA"/>
              </w:rPr>
            </w:pPr>
            <w:r w:rsidRPr="00F243F5">
              <w:rPr>
                <w:rFonts w:ascii="Times New Roman" w:eastAsia="Times New Roman" w:hAnsi="Times New Roman" w:cs="Times New Roman"/>
                <w:i/>
                <w:sz w:val="28"/>
                <w:szCs w:val="28"/>
                <w:lang w:eastAsia="ar-SA"/>
              </w:rPr>
              <w:t>2013</w:t>
            </w:r>
          </w:p>
        </w:tc>
        <w:tc>
          <w:tcPr>
            <w:tcW w:w="1985"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374</w:t>
            </w:r>
          </w:p>
        </w:tc>
        <w:tc>
          <w:tcPr>
            <w:tcW w:w="1984" w:type="dxa"/>
          </w:tcPr>
          <w:p w:rsidR="005F13EB" w:rsidRPr="00F243F5" w:rsidRDefault="005F13EB" w:rsidP="005F13EB">
            <w:pPr>
              <w:tabs>
                <w:tab w:val="left" w:pos="3828"/>
              </w:tabs>
              <w:suppressAutoHyphens/>
              <w:spacing w:after="0" w:line="240" w:lineRule="auto"/>
              <w:ind w:hanging="288"/>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147</w:t>
            </w:r>
          </w:p>
        </w:tc>
        <w:tc>
          <w:tcPr>
            <w:tcW w:w="2297"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521</w:t>
            </w:r>
          </w:p>
        </w:tc>
      </w:tr>
      <w:tr w:rsidR="005F13EB" w:rsidRPr="00F243F5" w:rsidTr="00A349A2">
        <w:trPr>
          <w:trHeight w:val="373"/>
        </w:trPr>
        <w:tc>
          <w:tcPr>
            <w:tcW w:w="2980"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i/>
                <w:sz w:val="28"/>
                <w:szCs w:val="28"/>
                <w:lang w:eastAsia="ar-SA"/>
              </w:rPr>
            </w:pPr>
            <w:r w:rsidRPr="00F243F5">
              <w:rPr>
                <w:rFonts w:ascii="Times New Roman" w:eastAsia="Times New Roman" w:hAnsi="Times New Roman" w:cs="Times New Roman"/>
                <w:i/>
                <w:sz w:val="28"/>
                <w:szCs w:val="28"/>
                <w:lang w:eastAsia="ar-SA"/>
              </w:rPr>
              <w:t>2014</w:t>
            </w:r>
          </w:p>
        </w:tc>
        <w:tc>
          <w:tcPr>
            <w:tcW w:w="1985"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353</w:t>
            </w:r>
          </w:p>
        </w:tc>
        <w:tc>
          <w:tcPr>
            <w:tcW w:w="1984" w:type="dxa"/>
          </w:tcPr>
          <w:p w:rsidR="005F13EB" w:rsidRPr="00F243F5" w:rsidRDefault="005F13EB" w:rsidP="005F13EB">
            <w:pPr>
              <w:tabs>
                <w:tab w:val="left" w:pos="3828"/>
              </w:tabs>
              <w:suppressAutoHyphens/>
              <w:spacing w:after="0" w:line="240" w:lineRule="auto"/>
              <w:ind w:hanging="288"/>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127</w:t>
            </w:r>
          </w:p>
        </w:tc>
        <w:tc>
          <w:tcPr>
            <w:tcW w:w="2297"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480</w:t>
            </w:r>
          </w:p>
        </w:tc>
      </w:tr>
      <w:tr w:rsidR="005F13EB" w:rsidRPr="00F243F5" w:rsidTr="00A349A2">
        <w:trPr>
          <w:trHeight w:val="353"/>
        </w:trPr>
        <w:tc>
          <w:tcPr>
            <w:tcW w:w="2980"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i/>
                <w:sz w:val="28"/>
                <w:szCs w:val="28"/>
                <w:lang w:eastAsia="ar-SA"/>
              </w:rPr>
            </w:pPr>
            <w:r w:rsidRPr="00F243F5">
              <w:rPr>
                <w:rFonts w:ascii="Times New Roman" w:eastAsia="Times New Roman" w:hAnsi="Times New Roman" w:cs="Times New Roman"/>
                <w:i/>
                <w:sz w:val="28"/>
                <w:szCs w:val="28"/>
                <w:lang w:eastAsia="ar-SA"/>
              </w:rPr>
              <w:t xml:space="preserve">2015 </w:t>
            </w:r>
          </w:p>
        </w:tc>
        <w:tc>
          <w:tcPr>
            <w:tcW w:w="1985"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319</w:t>
            </w:r>
          </w:p>
        </w:tc>
        <w:tc>
          <w:tcPr>
            <w:tcW w:w="1984" w:type="dxa"/>
          </w:tcPr>
          <w:p w:rsidR="005F13EB" w:rsidRPr="00F243F5" w:rsidRDefault="005F13EB" w:rsidP="005F13EB">
            <w:pPr>
              <w:tabs>
                <w:tab w:val="left" w:pos="3828"/>
              </w:tabs>
              <w:suppressAutoHyphens/>
              <w:spacing w:after="0" w:line="240" w:lineRule="auto"/>
              <w:ind w:hanging="288"/>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191</w:t>
            </w:r>
          </w:p>
        </w:tc>
        <w:tc>
          <w:tcPr>
            <w:tcW w:w="2297"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510</w:t>
            </w:r>
          </w:p>
        </w:tc>
      </w:tr>
      <w:tr w:rsidR="005F13EB" w:rsidRPr="00F243F5" w:rsidTr="00A349A2">
        <w:trPr>
          <w:trHeight w:val="287"/>
        </w:trPr>
        <w:tc>
          <w:tcPr>
            <w:tcW w:w="2980" w:type="dxa"/>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i/>
                <w:sz w:val="28"/>
                <w:szCs w:val="28"/>
                <w:lang w:eastAsia="ar-SA"/>
              </w:rPr>
            </w:pPr>
            <w:r w:rsidRPr="00F243F5">
              <w:rPr>
                <w:rFonts w:ascii="Times New Roman" w:eastAsia="Times New Roman" w:hAnsi="Times New Roman" w:cs="Times New Roman"/>
                <w:sz w:val="28"/>
                <w:szCs w:val="28"/>
                <w:lang w:eastAsia="ar-SA"/>
              </w:rPr>
              <w:t>Итого</w:t>
            </w:r>
            <w:r w:rsidRPr="00F243F5">
              <w:rPr>
                <w:rFonts w:ascii="Times New Roman" w:eastAsia="Times New Roman" w:hAnsi="Times New Roman" w:cs="Times New Roman"/>
                <w:i/>
                <w:sz w:val="28"/>
                <w:szCs w:val="28"/>
                <w:lang w:eastAsia="ar-SA"/>
              </w:rPr>
              <w:t xml:space="preserve"> </w:t>
            </w:r>
          </w:p>
        </w:tc>
        <w:tc>
          <w:tcPr>
            <w:tcW w:w="1985" w:type="dxa"/>
            <w:vAlign w:val="bottom"/>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2288</w:t>
            </w:r>
          </w:p>
        </w:tc>
        <w:tc>
          <w:tcPr>
            <w:tcW w:w="1984" w:type="dxa"/>
            <w:vAlign w:val="bottom"/>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1263</w:t>
            </w:r>
          </w:p>
        </w:tc>
        <w:tc>
          <w:tcPr>
            <w:tcW w:w="2297" w:type="dxa"/>
            <w:vAlign w:val="bottom"/>
          </w:tcPr>
          <w:p w:rsidR="005F13EB" w:rsidRPr="00F243F5" w:rsidRDefault="005F13EB" w:rsidP="005F13EB">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3551</w:t>
            </w:r>
          </w:p>
        </w:tc>
      </w:tr>
    </w:tbl>
    <w:p w:rsidR="005F13EB" w:rsidRPr="00F243F5" w:rsidRDefault="005F13EB" w:rsidP="005F13EB">
      <w:pPr>
        <w:widowControl w:val="0"/>
        <w:tabs>
          <w:tab w:val="left" w:pos="3828"/>
        </w:tabs>
        <w:suppressAutoHyphens/>
        <w:autoSpaceDE w:val="0"/>
        <w:spacing w:after="0" w:line="240" w:lineRule="auto"/>
        <w:ind w:firstLine="567"/>
        <w:jc w:val="both"/>
        <w:rPr>
          <w:rFonts w:ascii="Times New Roman" w:eastAsia="Times New Roman" w:hAnsi="Times New Roman" w:cs="Times New Roman"/>
          <w:sz w:val="28"/>
          <w:szCs w:val="28"/>
          <w:lang w:eastAsia="ar-SA"/>
        </w:rPr>
      </w:pPr>
    </w:p>
    <w:p w:rsidR="005F13EB" w:rsidRPr="00F243F5" w:rsidRDefault="005F13EB" w:rsidP="00F243F5">
      <w:pPr>
        <w:widowControl w:val="0"/>
        <w:tabs>
          <w:tab w:val="left" w:pos="3828"/>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lastRenderedPageBreak/>
        <w:t xml:space="preserve">Из таблицы можно увидеть, что на сегодня 1430 детей не посещают дошкольные образовательные учреждения, из них около 1400 детей от 0 до 3 лет. </w:t>
      </w:r>
    </w:p>
    <w:p w:rsidR="005F13EB" w:rsidRPr="00F243F5" w:rsidRDefault="005F13EB" w:rsidP="00F243F5">
      <w:pPr>
        <w:widowControl w:val="0"/>
        <w:tabs>
          <w:tab w:val="left" w:pos="3828"/>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Повышение не только доступности, но и качества дошкольного образования является актуальной задачей. Необходимо всесторонне развивать детей и их подготовке к обучению в школе.</w:t>
      </w:r>
    </w:p>
    <w:p w:rsidR="005F13EB" w:rsidRPr="00F243F5" w:rsidRDefault="005F13EB" w:rsidP="00F243F5">
      <w:pPr>
        <w:widowControl w:val="0"/>
        <w:tabs>
          <w:tab w:val="left" w:pos="3828"/>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В Буинском муниципальном районе в общеобразовательных учреждениях средняя наполняемость классов: </w:t>
      </w:r>
      <w:r w:rsidRPr="00F243F5">
        <w:rPr>
          <w:rFonts w:ascii="Times New Roman" w:eastAsia="Times New Roman" w:hAnsi="Times New Roman" w:cs="Times New Roman"/>
          <w:spacing w:val="-6"/>
          <w:sz w:val="28"/>
          <w:szCs w:val="28"/>
          <w:lang w:eastAsia="ar-SA"/>
        </w:rPr>
        <w:t>по городу –</w:t>
      </w:r>
      <w:r w:rsidRPr="00F243F5">
        <w:rPr>
          <w:rFonts w:ascii="Times New Roman" w:eastAsia="Times New Roman" w:hAnsi="Times New Roman" w:cs="Times New Roman"/>
          <w:sz w:val="28"/>
          <w:szCs w:val="28"/>
          <w:lang w:eastAsia="ar-SA"/>
        </w:rPr>
        <w:t xml:space="preserve">22,46 человек; </w:t>
      </w:r>
      <w:r w:rsidRPr="00F243F5">
        <w:rPr>
          <w:rFonts w:ascii="Times New Roman" w:eastAsia="Times New Roman" w:hAnsi="Times New Roman" w:cs="Times New Roman"/>
          <w:spacing w:val="-6"/>
          <w:sz w:val="28"/>
          <w:szCs w:val="28"/>
          <w:lang w:eastAsia="ar-SA"/>
        </w:rPr>
        <w:t>по селу –</w:t>
      </w:r>
      <w:r w:rsidRPr="00F243F5">
        <w:rPr>
          <w:rFonts w:ascii="Times New Roman" w:eastAsia="Times New Roman" w:hAnsi="Times New Roman" w:cs="Times New Roman"/>
          <w:sz w:val="28"/>
          <w:szCs w:val="28"/>
          <w:lang w:eastAsia="ar-SA"/>
        </w:rPr>
        <w:t>7,58 человек.</w:t>
      </w:r>
    </w:p>
    <w:p w:rsidR="005F13EB" w:rsidRPr="00F243F5" w:rsidRDefault="005F13EB" w:rsidP="00F243F5">
      <w:pPr>
        <w:suppressAutoHyphens/>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Соотношение: ученик-учитель.</w:t>
      </w:r>
    </w:p>
    <w:p w:rsidR="005F13EB" w:rsidRPr="00F243F5" w:rsidRDefault="005F13EB" w:rsidP="00735111">
      <w:pPr>
        <w:suppressAutoHyphens/>
        <w:spacing w:after="0" w:line="100" w:lineRule="atLeast"/>
        <w:ind w:firstLine="709"/>
        <w:jc w:val="righ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Таблица №10</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4"/>
        <w:gridCol w:w="2822"/>
        <w:gridCol w:w="1700"/>
        <w:gridCol w:w="1984"/>
        <w:gridCol w:w="2683"/>
      </w:tblGrid>
      <w:tr w:rsidR="005F13EB" w:rsidRPr="00F243F5" w:rsidTr="00A349A2">
        <w:trPr>
          <w:trHeight w:val="584"/>
        </w:trPr>
        <w:tc>
          <w:tcPr>
            <w:tcW w:w="460"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w:t>
            </w:r>
          </w:p>
        </w:tc>
        <w:tc>
          <w:tcPr>
            <w:tcW w:w="2834"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ОУ</w:t>
            </w:r>
          </w:p>
        </w:tc>
        <w:tc>
          <w:tcPr>
            <w:tcW w:w="1701"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Количество учителей</w:t>
            </w:r>
          </w:p>
        </w:tc>
        <w:tc>
          <w:tcPr>
            <w:tcW w:w="1985"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Количество обучающихся</w:t>
            </w:r>
          </w:p>
        </w:tc>
        <w:tc>
          <w:tcPr>
            <w:tcW w:w="269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Отношение ученика к учителю</w:t>
            </w:r>
          </w:p>
        </w:tc>
      </w:tr>
      <w:tr w:rsidR="005F13EB" w:rsidRPr="00F243F5" w:rsidTr="00A349A2">
        <w:trPr>
          <w:trHeight w:val="336"/>
        </w:trPr>
        <w:tc>
          <w:tcPr>
            <w:tcW w:w="460"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w:t>
            </w:r>
          </w:p>
        </w:tc>
        <w:tc>
          <w:tcPr>
            <w:tcW w:w="2834"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Город</w:t>
            </w:r>
          </w:p>
        </w:tc>
        <w:tc>
          <w:tcPr>
            <w:tcW w:w="1701"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198</w:t>
            </w:r>
          </w:p>
        </w:tc>
        <w:tc>
          <w:tcPr>
            <w:tcW w:w="1985"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2725</w:t>
            </w:r>
          </w:p>
        </w:tc>
        <w:tc>
          <w:tcPr>
            <w:tcW w:w="269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13,76</w:t>
            </w:r>
          </w:p>
        </w:tc>
      </w:tr>
      <w:tr w:rsidR="005F13EB" w:rsidRPr="00F243F5" w:rsidTr="00A349A2">
        <w:trPr>
          <w:trHeight w:val="269"/>
        </w:trPr>
        <w:tc>
          <w:tcPr>
            <w:tcW w:w="460"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w:t>
            </w:r>
          </w:p>
        </w:tc>
        <w:tc>
          <w:tcPr>
            <w:tcW w:w="2834"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Село (средние ОУ)</w:t>
            </w:r>
          </w:p>
        </w:tc>
        <w:tc>
          <w:tcPr>
            <w:tcW w:w="1701"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229</w:t>
            </w:r>
          </w:p>
        </w:tc>
        <w:tc>
          <w:tcPr>
            <w:tcW w:w="1985"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1498</w:t>
            </w:r>
          </w:p>
        </w:tc>
        <w:tc>
          <w:tcPr>
            <w:tcW w:w="269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6,54</w:t>
            </w:r>
          </w:p>
        </w:tc>
      </w:tr>
      <w:tr w:rsidR="005F13EB" w:rsidRPr="00F243F5" w:rsidTr="00A349A2">
        <w:trPr>
          <w:trHeight w:val="389"/>
        </w:trPr>
        <w:tc>
          <w:tcPr>
            <w:tcW w:w="460"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3</w:t>
            </w:r>
          </w:p>
        </w:tc>
        <w:tc>
          <w:tcPr>
            <w:tcW w:w="2834"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Село (основные ОУ)</w:t>
            </w:r>
          </w:p>
        </w:tc>
        <w:tc>
          <w:tcPr>
            <w:tcW w:w="1701"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128</w:t>
            </w:r>
          </w:p>
        </w:tc>
        <w:tc>
          <w:tcPr>
            <w:tcW w:w="1985"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389</w:t>
            </w:r>
          </w:p>
        </w:tc>
        <w:tc>
          <w:tcPr>
            <w:tcW w:w="269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3,04</w:t>
            </w:r>
          </w:p>
        </w:tc>
      </w:tr>
      <w:tr w:rsidR="005F13EB" w:rsidRPr="00F243F5" w:rsidTr="00A349A2">
        <w:trPr>
          <w:trHeight w:val="408"/>
        </w:trPr>
        <w:tc>
          <w:tcPr>
            <w:tcW w:w="460"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4</w:t>
            </w:r>
          </w:p>
        </w:tc>
        <w:tc>
          <w:tcPr>
            <w:tcW w:w="2834"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Всего село</w:t>
            </w:r>
          </w:p>
        </w:tc>
        <w:tc>
          <w:tcPr>
            <w:tcW w:w="1701"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357</w:t>
            </w:r>
          </w:p>
        </w:tc>
        <w:tc>
          <w:tcPr>
            <w:tcW w:w="1985"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1887</w:t>
            </w:r>
          </w:p>
        </w:tc>
        <w:tc>
          <w:tcPr>
            <w:tcW w:w="269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5,29</w:t>
            </w:r>
          </w:p>
        </w:tc>
      </w:tr>
      <w:tr w:rsidR="005F13EB" w:rsidRPr="00F243F5" w:rsidTr="00A349A2">
        <w:trPr>
          <w:trHeight w:val="402"/>
        </w:trPr>
        <w:tc>
          <w:tcPr>
            <w:tcW w:w="460"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5</w:t>
            </w:r>
          </w:p>
        </w:tc>
        <w:tc>
          <w:tcPr>
            <w:tcW w:w="2834"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Итого</w:t>
            </w:r>
          </w:p>
        </w:tc>
        <w:tc>
          <w:tcPr>
            <w:tcW w:w="1701"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555</w:t>
            </w:r>
          </w:p>
        </w:tc>
        <w:tc>
          <w:tcPr>
            <w:tcW w:w="1985"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4612</w:t>
            </w:r>
          </w:p>
        </w:tc>
        <w:tc>
          <w:tcPr>
            <w:tcW w:w="269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8,31</w:t>
            </w:r>
          </w:p>
        </w:tc>
      </w:tr>
    </w:tbl>
    <w:p w:rsidR="005F13EB" w:rsidRPr="00F243F5" w:rsidRDefault="005F13EB" w:rsidP="005F13EB">
      <w:pPr>
        <w:tabs>
          <w:tab w:val="left" w:pos="3828"/>
        </w:tabs>
        <w:suppressAutoHyphens/>
        <w:spacing w:after="0" w:line="240" w:lineRule="auto"/>
        <w:jc w:val="both"/>
        <w:rPr>
          <w:rFonts w:ascii="Times New Roman" w:eastAsia="Times New Roman" w:hAnsi="Times New Roman" w:cs="Times New Roman"/>
          <w:sz w:val="28"/>
          <w:szCs w:val="28"/>
          <w:lang w:eastAsia="ru-RU"/>
        </w:rPr>
      </w:pPr>
    </w:p>
    <w:p w:rsidR="005F13EB" w:rsidRPr="00F243F5" w:rsidRDefault="005F13E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Диаграмма показывает отношение ученика к учителю между сельскими и городскими общеобразовательными учреждениями. (рис.3)</w:t>
      </w:r>
    </w:p>
    <w:p w:rsidR="005F13EB" w:rsidRPr="00F243F5" w:rsidRDefault="005F13E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Наибольшие показатели у СОШ №1-16,58.</w:t>
      </w:r>
    </w:p>
    <w:p w:rsidR="005F13EB" w:rsidRPr="00F243F5" w:rsidRDefault="005F13E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Наименьшие - Алькеевская ООШ и Кайбицкая ООШ – 3,67.</w:t>
      </w:r>
    </w:p>
    <w:p w:rsidR="005F13EB" w:rsidRPr="00F243F5" w:rsidRDefault="005F13E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noProof/>
          <w:sz w:val="28"/>
          <w:szCs w:val="28"/>
          <w:lang w:eastAsia="ru-RU"/>
        </w:rPr>
        <w:drawing>
          <wp:inline distT="0" distB="0" distL="0" distR="0" wp14:anchorId="0DDF54EE" wp14:editId="4BC9EFA6">
            <wp:extent cx="4710776" cy="4391891"/>
            <wp:effectExtent l="0" t="0" r="13970" b="889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13EB" w:rsidRPr="00F243F5" w:rsidRDefault="005F13E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 xml:space="preserve">Рис.3 </w:t>
      </w:r>
    </w:p>
    <w:p w:rsidR="005F13EB" w:rsidRPr="00F243F5" w:rsidRDefault="005F13EB" w:rsidP="005F13EB">
      <w:pPr>
        <w:suppressAutoHyphens/>
        <w:spacing w:after="0" w:line="100" w:lineRule="atLeast"/>
        <w:ind w:firstLine="709"/>
        <w:jc w:val="righ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lastRenderedPageBreak/>
        <w:t>Таблица №11</w:t>
      </w:r>
    </w:p>
    <w:p w:rsidR="005F13EB" w:rsidRPr="00F243F5" w:rsidRDefault="005F13E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Соотношение учитель-ученик до 2030 года.</w:t>
      </w:r>
    </w:p>
    <w:p w:rsidR="005F13EB" w:rsidRPr="00F243F5" w:rsidRDefault="005F13E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24"/>
        <w:gridCol w:w="2311"/>
        <w:gridCol w:w="1143"/>
        <w:gridCol w:w="1143"/>
        <w:gridCol w:w="1142"/>
        <w:gridCol w:w="1072"/>
        <w:gridCol w:w="1028"/>
        <w:gridCol w:w="992"/>
      </w:tblGrid>
      <w:tr w:rsidR="005F13EB" w:rsidRPr="00F243F5" w:rsidTr="00A349A2">
        <w:trPr>
          <w:trHeight w:val="584"/>
        </w:trPr>
        <w:tc>
          <w:tcPr>
            <w:tcW w:w="524"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w:t>
            </w:r>
          </w:p>
        </w:tc>
        <w:tc>
          <w:tcPr>
            <w:tcW w:w="2311"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Образовательные учреждения</w:t>
            </w:r>
          </w:p>
        </w:tc>
        <w:tc>
          <w:tcPr>
            <w:tcW w:w="114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2016-2017</w:t>
            </w:r>
          </w:p>
        </w:tc>
        <w:tc>
          <w:tcPr>
            <w:tcW w:w="114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2017-2018</w:t>
            </w:r>
          </w:p>
        </w:tc>
        <w:tc>
          <w:tcPr>
            <w:tcW w:w="1142"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2018-2019</w:t>
            </w:r>
          </w:p>
        </w:tc>
        <w:tc>
          <w:tcPr>
            <w:tcW w:w="1072"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2019-2020</w:t>
            </w:r>
          </w:p>
        </w:tc>
        <w:tc>
          <w:tcPr>
            <w:tcW w:w="1028"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2020- 2025</w:t>
            </w:r>
          </w:p>
        </w:tc>
        <w:tc>
          <w:tcPr>
            <w:tcW w:w="992"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20-25-2030</w:t>
            </w:r>
          </w:p>
        </w:tc>
      </w:tr>
      <w:tr w:rsidR="005F13EB" w:rsidRPr="00F243F5" w:rsidTr="00A349A2">
        <w:trPr>
          <w:trHeight w:val="336"/>
        </w:trPr>
        <w:tc>
          <w:tcPr>
            <w:tcW w:w="524"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w:t>
            </w:r>
          </w:p>
        </w:tc>
        <w:tc>
          <w:tcPr>
            <w:tcW w:w="2311"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Город</w:t>
            </w:r>
          </w:p>
        </w:tc>
        <w:tc>
          <w:tcPr>
            <w:tcW w:w="114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14,7</w:t>
            </w:r>
          </w:p>
        </w:tc>
        <w:tc>
          <w:tcPr>
            <w:tcW w:w="1143"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13,7</w:t>
            </w:r>
          </w:p>
        </w:tc>
        <w:tc>
          <w:tcPr>
            <w:tcW w:w="1142"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14,4</w:t>
            </w:r>
          </w:p>
        </w:tc>
        <w:tc>
          <w:tcPr>
            <w:tcW w:w="1072"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14,8</w:t>
            </w:r>
          </w:p>
        </w:tc>
        <w:tc>
          <w:tcPr>
            <w:tcW w:w="1028"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15,1</w:t>
            </w:r>
          </w:p>
        </w:tc>
        <w:tc>
          <w:tcPr>
            <w:tcW w:w="992"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15,4</w:t>
            </w:r>
          </w:p>
        </w:tc>
      </w:tr>
      <w:tr w:rsidR="005F13EB" w:rsidRPr="00F243F5" w:rsidTr="00A349A2">
        <w:trPr>
          <w:trHeight w:val="269"/>
        </w:trPr>
        <w:tc>
          <w:tcPr>
            <w:tcW w:w="524"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2</w:t>
            </w:r>
          </w:p>
        </w:tc>
        <w:tc>
          <w:tcPr>
            <w:tcW w:w="2311"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Село (средние)</w:t>
            </w:r>
          </w:p>
        </w:tc>
        <w:tc>
          <w:tcPr>
            <w:tcW w:w="114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6,25</w:t>
            </w:r>
          </w:p>
        </w:tc>
        <w:tc>
          <w:tcPr>
            <w:tcW w:w="1143"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6,1</w:t>
            </w:r>
          </w:p>
        </w:tc>
        <w:tc>
          <w:tcPr>
            <w:tcW w:w="1142"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5,9</w:t>
            </w:r>
          </w:p>
        </w:tc>
        <w:tc>
          <w:tcPr>
            <w:tcW w:w="1072"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5,83</w:t>
            </w:r>
          </w:p>
        </w:tc>
        <w:tc>
          <w:tcPr>
            <w:tcW w:w="1028"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5,5</w:t>
            </w:r>
          </w:p>
        </w:tc>
        <w:tc>
          <w:tcPr>
            <w:tcW w:w="992"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5</w:t>
            </w:r>
          </w:p>
        </w:tc>
      </w:tr>
      <w:tr w:rsidR="005F13EB" w:rsidRPr="00F243F5" w:rsidTr="00A349A2">
        <w:trPr>
          <w:trHeight w:val="389"/>
        </w:trPr>
        <w:tc>
          <w:tcPr>
            <w:tcW w:w="524"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3</w:t>
            </w:r>
          </w:p>
        </w:tc>
        <w:tc>
          <w:tcPr>
            <w:tcW w:w="2311" w:type="dxa"/>
            <w:shd w:val="clear" w:color="auto" w:fill="auto"/>
            <w:hideMark/>
          </w:tcPr>
          <w:p w:rsidR="005F13EB" w:rsidRPr="00F243F5" w:rsidRDefault="005F13EB" w:rsidP="005F13EB">
            <w:pPr>
              <w:tabs>
                <w:tab w:val="left" w:pos="3828"/>
              </w:tabs>
              <w:suppressAutoHyphens/>
              <w:spacing w:after="0" w:line="240" w:lineRule="auto"/>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Село (основные)</w:t>
            </w:r>
          </w:p>
        </w:tc>
        <w:tc>
          <w:tcPr>
            <w:tcW w:w="1143" w:type="dxa"/>
            <w:shd w:val="clear" w:color="auto" w:fill="auto"/>
            <w:hideMark/>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4,8</w:t>
            </w:r>
          </w:p>
        </w:tc>
        <w:tc>
          <w:tcPr>
            <w:tcW w:w="1143"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4,65</w:t>
            </w:r>
          </w:p>
        </w:tc>
        <w:tc>
          <w:tcPr>
            <w:tcW w:w="1142"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4,51</w:t>
            </w:r>
          </w:p>
        </w:tc>
        <w:tc>
          <w:tcPr>
            <w:tcW w:w="1072" w:type="dxa"/>
            <w:shd w:val="clear" w:color="auto" w:fill="auto"/>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4,42</w:t>
            </w:r>
          </w:p>
        </w:tc>
        <w:tc>
          <w:tcPr>
            <w:tcW w:w="1028"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4</w:t>
            </w:r>
          </w:p>
        </w:tc>
        <w:tc>
          <w:tcPr>
            <w:tcW w:w="992" w:type="dxa"/>
          </w:tcPr>
          <w:p w:rsidR="005F13EB" w:rsidRPr="00F243F5" w:rsidRDefault="005F13EB" w:rsidP="005F13EB">
            <w:pPr>
              <w:tabs>
                <w:tab w:val="left" w:pos="3828"/>
              </w:tabs>
              <w:suppressAutoHyphens/>
              <w:spacing w:after="0" w:line="240" w:lineRule="auto"/>
              <w:jc w:val="center"/>
              <w:rPr>
                <w:rFonts w:ascii="Times New Roman" w:eastAsia="Calibri" w:hAnsi="Times New Roman" w:cs="Times New Roman"/>
                <w:sz w:val="28"/>
                <w:szCs w:val="28"/>
                <w:lang w:eastAsia="ru-RU"/>
              </w:rPr>
            </w:pPr>
            <w:r w:rsidRPr="00F243F5">
              <w:rPr>
                <w:rFonts w:ascii="Times New Roman" w:eastAsia="Calibri" w:hAnsi="Times New Roman" w:cs="Times New Roman"/>
                <w:sz w:val="28"/>
                <w:szCs w:val="28"/>
                <w:lang w:eastAsia="ru-RU"/>
              </w:rPr>
              <w:t>3,5</w:t>
            </w:r>
          </w:p>
        </w:tc>
      </w:tr>
    </w:tbl>
    <w:p w:rsidR="005F13EB" w:rsidRPr="00F243F5" w:rsidRDefault="005F13E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p>
    <w:p w:rsidR="005F13EB" w:rsidRPr="00F243F5" w:rsidRDefault="005F13EB" w:rsidP="00F243F5">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Согласно таблице, соотношение ученик-учитель в городских образовательных учреждениях увеличивается, а в сельских школах уменьшается. Это связано с увеличением количества детей в городе и уменьшение их на селе.</w:t>
      </w:r>
    </w:p>
    <w:p w:rsidR="00F50F1B" w:rsidRPr="00F243F5" w:rsidRDefault="00F50F1B" w:rsidP="00F243F5">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p>
    <w:p w:rsidR="00F50F1B" w:rsidRPr="00F243F5" w:rsidRDefault="00F50F1B" w:rsidP="00F243F5">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1.6. Пункт 3.2.2.2. изменить и изложить в следующей редакции:</w:t>
      </w:r>
    </w:p>
    <w:p w:rsidR="00F50F1B" w:rsidRPr="00F243F5" w:rsidRDefault="00F50F1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p>
    <w:p w:rsidR="00F243F5" w:rsidRDefault="00F50F1B" w:rsidP="00F50F1B">
      <w:pPr>
        <w:tabs>
          <w:tab w:val="left" w:pos="3828"/>
        </w:tabs>
        <w:suppressAutoHyphens/>
        <w:spacing w:after="0" w:line="240" w:lineRule="auto"/>
        <w:ind w:right="54" w:firstLine="709"/>
        <w:jc w:val="center"/>
        <w:rPr>
          <w:rFonts w:ascii="Times New Roman" w:eastAsia="Arial Unicode MS" w:hAnsi="Times New Roman" w:cs="Times New Roman"/>
          <w:color w:val="000000"/>
          <w:sz w:val="28"/>
          <w:szCs w:val="28"/>
          <w:lang w:eastAsia="ar-SA"/>
        </w:rPr>
      </w:pPr>
      <w:r w:rsidRPr="00F243F5">
        <w:rPr>
          <w:rFonts w:ascii="Times New Roman" w:eastAsia="Arial Unicode MS" w:hAnsi="Times New Roman" w:cs="Times New Roman"/>
          <w:color w:val="000000"/>
          <w:sz w:val="28"/>
          <w:szCs w:val="28"/>
          <w:lang w:eastAsia="ar-SA"/>
        </w:rPr>
        <w:t xml:space="preserve">3.2.2.2. Развитие систем водоснабжения и водоотведения </w:t>
      </w:r>
    </w:p>
    <w:p w:rsidR="00F50F1B" w:rsidRPr="00F243F5" w:rsidRDefault="00F50F1B" w:rsidP="00F50F1B">
      <w:pPr>
        <w:tabs>
          <w:tab w:val="left" w:pos="3828"/>
        </w:tabs>
        <w:suppressAutoHyphens/>
        <w:spacing w:after="0" w:line="240" w:lineRule="auto"/>
        <w:ind w:right="54" w:firstLine="709"/>
        <w:jc w:val="center"/>
        <w:rPr>
          <w:rFonts w:ascii="Times New Roman" w:eastAsia="Arial Unicode MS" w:hAnsi="Times New Roman" w:cs="Times New Roman"/>
          <w:color w:val="000000"/>
          <w:sz w:val="28"/>
          <w:szCs w:val="28"/>
          <w:lang w:eastAsia="ar-SA"/>
        </w:rPr>
      </w:pPr>
      <w:r w:rsidRPr="00F243F5">
        <w:rPr>
          <w:rFonts w:ascii="Times New Roman" w:eastAsia="Arial Unicode MS" w:hAnsi="Times New Roman" w:cs="Times New Roman"/>
          <w:color w:val="000000"/>
          <w:sz w:val="28"/>
          <w:szCs w:val="28"/>
          <w:lang w:eastAsia="ar-SA"/>
        </w:rPr>
        <w:t>Буинского муниципального района</w:t>
      </w:r>
    </w:p>
    <w:p w:rsidR="00F50F1B" w:rsidRPr="00F243F5" w:rsidRDefault="00F50F1B" w:rsidP="00F50F1B">
      <w:pPr>
        <w:tabs>
          <w:tab w:val="left" w:pos="3828"/>
        </w:tabs>
        <w:suppressAutoHyphens/>
        <w:spacing w:after="0" w:line="240" w:lineRule="auto"/>
        <w:ind w:right="54" w:firstLine="709"/>
        <w:jc w:val="both"/>
        <w:rPr>
          <w:rFonts w:ascii="Times New Roman" w:eastAsia="Arial Unicode MS" w:hAnsi="Times New Roman" w:cs="Times New Roman"/>
          <w:sz w:val="28"/>
          <w:szCs w:val="28"/>
          <w:lang w:eastAsia="ar-SA"/>
        </w:rPr>
      </w:pPr>
    </w:p>
    <w:p w:rsidR="00F50F1B" w:rsidRPr="00F243F5" w:rsidRDefault="00F50F1B" w:rsidP="00F50F1B">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bookmarkStart w:id="1" w:name="_Toc284584780"/>
      <w:r w:rsidRPr="00F243F5">
        <w:rPr>
          <w:rFonts w:ascii="Times New Roman" w:eastAsia="Times New Roman" w:hAnsi="Times New Roman" w:cs="Times New Roman"/>
          <w:sz w:val="28"/>
          <w:szCs w:val="28"/>
          <w:lang w:eastAsia="ar-SA"/>
        </w:rPr>
        <w:t xml:space="preserve">Политика повышения уровня и качества жизни населения района должна </w:t>
      </w:r>
      <w:r w:rsidRPr="00F243F5">
        <w:rPr>
          <w:rFonts w:ascii="Times New Roman" w:eastAsia="Times New Roman" w:hAnsi="Times New Roman" w:cs="Times New Roman"/>
          <w:spacing w:val="-4"/>
          <w:sz w:val="28"/>
          <w:szCs w:val="28"/>
          <w:lang w:eastAsia="ar-SA"/>
        </w:rPr>
        <w:t>осуществляться с учетом факторов пространственного развития, направляться</w:t>
      </w:r>
      <w:r w:rsidRPr="00F243F5">
        <w:rPr>
          <w:rFonts w:ascii="Times New Roman" w:eastAsia="Times New Roman" w:hAnsi="Times New Roman" w:cs="Times New Roman"/>
          <w:sz w:val="28"/>
          <w:szCs w:val="28"/>
          <w:lang w:eastAsia="ar-SA"/>
        </w:rPr>
        <w:t xml:space="preserve"> на сглаживание территориальных диспропорций в экономике и социальной сфере, повышение экономической активности муниципальных образований и улучшение их инфраструктурной обустроенности. Недостаточная привлекательность района для проживания (неудовлетворительное состояние социальной, транспортной и коммунальной инфраструктуры, проблемы с занятостью) является реальной угрозой оттока рабочей силы из района. Отсутствие квалифицированных кадров сельскохозяйственных профессий уже является немаловажной проблемой агропромышленного комплекса. Для привлечения их в сельскохозяйственное производство необходимо создать социальные условия молодым специалистам. Данное направление развития территорий включает:</w:t>
      </w:r>
    </w:p>
    <w:p w:rsidR="00F50F1B" w:rsidRPr="00F243F5" w:rsidRDefault="00F50F1B" w:rsidP="00F50F1B">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оказание мер государственной поддержки, направленной на стимулирование закрепления молодых специалистов в сельской местности;</w:t>
      </w:r>
    </w:p>
    <w:p w:rsidR="00F50F1B" w:rsidRPr="00F243F5" w:rsidRDefault="00F50F1B" w:rsidP="00F50F1B">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осуществление мер по улучшению демографической ситуации и обеспечению занятости, созданию новых рабочих мест, в том числе путем развития альтернативной деятельности. Одной из форм способствующей размещению на территории района новых производств является создание производственных и коммунально-складских зон.</w:t>
      </w:r>
    </w:p>
    <w:p w:rsidR="00F50F1B" w:rsidRPr="00F243F5" w:rsidRDefault="00F50F1B" w:rsidP="00F50F1B">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улучшение жилищных условий, поддержка комплексной компактной застройки и благоустройство территорий;</w:t>
      </w:r>
    </w:p>
    <w:p w:rsidR="00F50F1B" w:rsidRPr="00F243F5" w:rsidRDefault="00F50F1B" w:rsidP="00F50F1B">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повышение престижности сельскохозяйственного труда;</w:t>
      </w:r>
    </w:p>
    <w:p w:rsidR="00F50F1B" w:rsidRPr="00F243F5" w:rsidRDefault="00F50F1B" w:rsidP="00F50F1B">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развитие социальной инфраструктуры и инженерного обустройства.</w:t>
      </w:r>
    </w:p>
    <w:p w:rsidR="00F50F1B" w:rsidRPr="00F243F5" w:rsidRDefault="00F50F1B" w:rsidP="00F50F1B">
      <w:pPr>
        <w:tabs>
          <w:tab w:val="left" w:pos="3828"/>
        </w:tabs>
        <w:suppressAutoHyphens/>
        <w:spacing w:after="0" w:line="240" w:lineRule="auto"/>
        <w:ind w:firstLine="709"/>
        <w:jc w:val="both"/>
        <w:rPr>
          <w:rFonts w:ascii="Times New Roman" w:eastAsia="Times New Roman" w:hAnsi="Times New Roman" w:cs="Times New Roman"/>
          <w:iCs/>
          <w:sz w:val="28"/>
          <w:szCs w:val="28"/>
          <w:lang w:eastAsia="ar-SA"/>
        </w:rPr>
      </w:pPr>
      <w:r w:rsidRPr="00F243F5">
        <w:rPr>
          <w:rFonts w:ascii="Times New Roman" w:eastAsia="Times New Roman" w:hAnsi="Times New Roman" w:cs="Times New Roman"/>
          <w:iCs/>
          <w:sz w:val="28"/>
          <w:szCs w:val="28"/>
          <w:lang w:eastAsia="ar-SA"/>
        </w:rPr>
        <w:t xml:space="preserve">Устойчивое развитие территорий и повышение привлекательности района как места для постоянного проживания высококвалифицированных специалистов </w:t>
      </w:r>
      <w:r w:rsidRPr="00F243F5">
        <w:rPr>
          <w:rFonts w:ascii="Times New Roman" w:eastAsia="Times New Roman" w:hAnsi="Times New Roman" w:cs="Times New Roman"/>
          <w:iCs/>
          <w:sz w:val="28"/>
          <w:szCs w:val="28"/>
          <w:lang w:eastAsia="ar-SA"/>
        </w:rPr>
        <w:lastRenderedPageBreak/>
        <w:t>связано с созданием условий жизни, максимально приближенных к крупным городам. В этой связи важное значение имеет развитие объектов социальной инфраструктуры.</w:t>
      </w:r>
    </w:p>
    <w:p w:rsidR="00F50F1B" w:rsidRPr="00F243F5" w:rsidRDefault="00F50F1B" w:rsidP="00F50F1B">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В этой связи решение проблемы обеспечения населения района питьевой водой определяется в качестве одной из стратегических задач.</w:t>
      </w:r>
    </w:p>
    <w:p w:rsidR="00F50F1B" w:rsidRPr="00F243F5" w:rsidRDefault="00F50F1B" w:rsidP="00F50F1B">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Стратегической целью развития систем питьевого и хозяйственного водоснабжения и водоотведения является обеспечение бесперебойного, гарантированного удовлетворения потребностей жителей района в питьевой воде в необходимом количестве и качестве, соответствующем нормативам физиологических, санитарно-гигиенических и хозяйственно-питьевых нужд независимо от места их проживания.</w:t>
      </w:r>
    </w:p>
    <w:p w:rsidR="00F50F1B" w:rsidRPr="00F243F5" w:rsidRDefault="00F50F1B" w:rsidP="00F50F1B">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Для обеспечения района качественным водоснабжением необходимо произвести модернизацию водопроводных сетей (замена стальных, чугунных, асбестово-цементных трубопроводов на полиэтиленовые трубы). Основной материал труб чугун и керамика. В связи с большим износом водопроводных сетей   часто возникают аварии, устранение которых требует большого количества трудовых и материальных вложений. Для повышения надежности водоснабжения и в связи с изношенностью водопроводных сетей необходимо провести реконструкцию 130,7 км, что составляет 28,1 % от общих водопроводных сетей Буинского муниципального района.</w:t>
      </w:r>
    </w:p>
    <w:p w:rsidR="00F50F1B" w:rsidRPr="00F243F5" w:rsidRDefault="00F50F1B" w:rsidP="00F50F1B">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Очистка сточных вод является мероприятием, направленным на улучшение санитарно-экологического состояния района. Для улучшения социальной и экологической обстановки необходимо строительство канализационных сетей в городе. Недостаточное обеспечение жилищного фонда централизованным водоотведением – 8,1%.</w:t>
      </w:r>
    </w:p>
    <w:p w:rsidR="00F50F1B" w:rsidRPr="00F243F5" w:rsidRDefault="00F50F1B" w:rsidP="00F50F1B">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Достижение поставленных задач позволит:</w:t>
      </w:r>
    </w:p>
    <w:p w:rsidR="00F50F1B" w:rsidRPr="00F243F5" w:rsidRDefault="00F50F1B" w:rsidP="00F50F1B">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Повышению качества, надежности обслуживания (водоснабжения, водоотведения) потребителей;</w:t>
      </w:r>
    </w:p>
    <w:p w:rsidR="00F50F1B" w:rsidRPr="00F243F5" w:rsidRDefault="00F50F1B" w:rsidP="00F50F1B">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Повышению уровня экологической безопасности производства услуг водоснабжения и водоотведения;</w:t>
      </w:r>
    </w:p>
    <w:p w:rsidR="009F787F" w:rsidRPr="00F243F5" w:rsidRDefault="009F787F" w:rsidP="00F50F1B">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p>
    <w:p w:rsidR="009F787F" w:rsidRPr="00F243F5" w:rsidRDefault="00F243F5" w:rsidP="00F243F5">
      <w:pPr>
        <w:shd w:val="clear" w:color="auto" w:fill="FFFFFF"/>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F787F" w:rsidRPr="00F243F5">
        <w:rPr>
          <w:rFonts w:ascii="Times New Roman" w:eastAsia="Times New Roman" w:hAnsi="Times New Roman" w:cs="Times New Roman"/>
          <w:sz w:val="28"/>
          <w:szCs w:val="28"/>
          <w:lang w:eastAsia="ar-SA"/>
        </w:rPr>
        <w:t>1.7. Пункт 3.2.3.2. изменить и изложить в следующей редакции:</w:t>
      </w:r>
    </w:p>
    <w:p w:rsidR="009F787F" w:rsidRPr="00F243F5" w:rsidRDefault="009F787F" w:rsidP="009F787F">
      <w:pPr>
        <w:shd w:val="clear" w:color="auto" w:fill="FFFFFF"/>
        <w:tabs>
          <w:tab w:val="left" w:pos="3828"/>
        </w:tabs>
        <w:suppressAutoHyphens/>
        <w:spacing w:after="0" w:line="240" w:lineRule="auto"/>
        <w:jc w:val="both"/>
        <w:rPr>
          <w:rFonts w:ascii="Times New Roman" w:eastAsia="Times New Roman" w:hAnsi="Times New Roman" w:cs="Times New Roman"/>
          <w:sz w:val="28"/>
          <w:szCs w:val="28"/>
          <w:lang w:eastAsia="ar-SA"/>
        </w:rPr>
      </w:pPr>
    </w:p>
    <w:p w:rsidR="009F787F" w:rsidRPr="00F243F5" w:rsidRDefault="009F787F" w:rsidP="009F787F">
      <w:pPr>
        <w:tabs>
          <w:tab w:val="left" w:pos="3828"/>
        </w:tabs>
        <w:suppressAutoHyphens/>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3.2.3.2 Развитие агропромышленного комплекса</w:t>
      </w:r>
    </w:p>
    <w:p w:rsidR="009F787F" w:rsidRPr="00F243F5" w:rsidRDefault="009F787F" w:rsidP="009F787F">
      <w:pPr>
        <w:tabs>
          <w:tab w:val="left" w:pos="3828"/>
        </w:tabs>
        <w:suppressAutoHyphens/>
        <w:spacing w:after="0" w:line="100" w:lineRule="atLeast"/>
        <w:jc w:val="center"/>
        <w:rPr>
          <w:rFonts w:ascii="Times New Roman" w:eastAsia="Times New Roman" w:hAnsi="Times New Roman" w:cs="Times New Roman"/>
          <w:b/>
          <w:bCs/>
          <w:sz w:val="28"/>
          <w:szCs w:val="28"/>
          <w:lang w:eastAsia="ar-SA"/>
        </w:rPr>
      </w:pP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К мероприятиям, определяющим основные направления развития сельского хозяйства и направленным на создание условий для устойчивого и эффективного функционирования сельскохозяйственного производства, относятся:</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комплекс мероприятий, направленных на модернизацию  основных фондов. При модернизации основных фондов будет использоваться как современная сельскохозяйственная техника российских производителей, так и сельскохозяйственная техника ведущих зарубежных производителей.</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Для поддержания машинно-тракторного парка в работоспособном состоянии, продолжения внедрения энерго- и ресурсосберегающих технологий, требуется ежегодное приобретение 37 тракторов, 12 зерноуборочных, 4 кормоуборочных и 4 </w:t>
      </w:r>
      <w:r w:rsidRPr="00F243F5">
        <w:rPr>
          <w:rFonts w:ascii="Times New Roman" w:eastAsia="Times New Roman" w:hAnsi="Times New Roman" w:cs="Times New Roman"/>
          <w:sz w:val="28"/>
          <w:szCs w:val="28"/>
          <w:lang w:eastAsia="ar-SA"/>
        </w:rPr>
        <w:lastRenderedPageBreak/>
        <w:t>свеклоуборочных комбайнов, 4 самоходных косилок, 10 грузовых автомобилей, 13 посевных комплексов и сеялок, 32 почвообрабатывающих машин.</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Реализация комплекса мероприятий по данному направлению создает условия для решения актуальной проблемы изношенности материально-технической базы сельского хозяйства района.</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Продолжится внедрение в сельскохозяйственное производство энерго-ресурсосберегающих технологий на основе универсальных широкозахватных почвообрабатывающих и посевных агрегатов, выполняющих за один проход несколько операций, позволяющих экономить горюче-смазочные материалы, снизить прямые затраты.</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Реализация мероприятий по модернизации основных фондов зависит от реализации мероприятий по совершенствованию финансово- кредитных механизмов, обеспечивающие разумные и доступные условия кредитования и лизинга для всех видов хозяйств.</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Потребность в финансировании на реализацию мероприятий по данному направлению оценивается на уровне 195,3 млн.руб. в 2016г., а к 2030 г. с учетом ежегодного удорожания техники и увеличения поступления техники ассигнования должны возрасти до 502 млн.руб.;</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в растениеводстве планируется реализация мероприятий по оптимизации структуры посевных площадей и освоению научно-обоснованных севооборотов для более эффективного использования земель, машин и оборудования, а также внедрение современных агротехнических мероприятий;</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комплекс мероприятий по повышению плодородия, включает в себя сохранение плодородия почв за счет проведения работ по борьбе с водной и ветровой эрозией, полезащитному лесоразведению, внедрению почвозащитных технологий и севооборотов, улучшения плодородия почв за счет сбалансированного применения удобрений;</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 в животноводстве планируется увеличение объемов производства продукции молочного и мясного животноводства на основе роста численности поголовья животных и повышения их продуктивности, создания сбалансированной кормовой базы и перехода к новым технологиям их содержания и кормления. </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Обеспечение породного обновления животных и эффективного использования биопотенциала новых пород.</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Строительство новых, реконструкция и модернизация имеющихся животноводческих помещений.</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Повышение конкурентоспособности производства молока и мяса на основе роста эффективности молочного и мясного скотоводства.</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Создание общих условий для повышения эффективности молочного и мясного скотоводства, его динамичного и сбалансированного роста.</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Реализация мероприятия</w:t>
      </w:r>
      <w:r w:rsidR="00F243F5">
        <w:rPr>
          <w:rFonts w:ascii="Times New Roman" w:eastAsia="Times New Roman" w:hAnsi="Times New Roman" w:cs="Times New Roman"/>
          <w:sz w:val="28"/>
          <w:szCs w:val="28"/>
          <w:lang w:eastAsia="ar-SA"/>
        </w:rPr>
        <w:t xml:space="preserve"> </w:t>
      </w:r>
      <w:r w:rsidRPr="00F243F5">
        <w:rPr>
          <w:rFonts w:ascii="Times New Roman" w:eastAsia="Times New Roman" w:hAnsi="Times New Roman" w:cs="Times New Roman"/>
          <w:sz w:val="28"/>
          <w:szCs w:val="28"/>
          <w:lang w:eastAsia="ar-SA"/>
        </w:rPr>
        <w:t>создания новых высокотехнологических животноводческих семейных ферм направлена на сохранение традиционного уклада жизни и поддержание занятости и доходности крестьянских (фермерских) хозяйств и личных подсобных хозяйств.</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b/>
          <w:sz w:val="28"/>
          <w:szCs w:val="28"/>
          <w:lang w:eastAsia="ar-SA"/>
        </w:rPr>
      </w:pPr>
      <w:r w:rsidRPr="00F243F5">
        <w:rPr>
          <w:rFonts w:ascii="Times New Roman" w:eastAsia="Times New Roman" w:hAnsi="Times New Roman" w:cs="Times New Roman"/>
          <w:sz w:val="28"/>
          <w:szCs w:val="28"/>
          <w:lang w:eastAsia="ar-SA"/>
        </w:rPr>
        <w:t>В рамках осуществления мероприятия предусматривается увеличение общей численности высокотехнологических семейных ферм к 2030 году до 48 единиц.</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lastRenderedPageBreak/>
        <w:t>Комплекс мероприятий по повышению занятости сельского населения и улучшения кадрового обеспечения. Планируется проведение мероприятий по созданию образовательного кластера агропромышленного комплекса на имеющейся базе ГБПОУ «Буинский ветеринарный техникум». Особое внимание при реализации мероприятий по данному направлению будет уделено   решению актуальной проблемы привлечения и закрепления молодых специалистов в сельскохозяйственном производстве.</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Комплекс мер по развитию информатизации предусматривает приобретение программно-технических средств и телекоммуникационного оборудования, разработку и обеспечение функционирования информационной инфраструктуры агропромышленного комплекса в рамках единого информационного пространства республики.</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Комплекс мероприятий по развитию научных агроисследований для развития науки как одного из важных факторов роста производства в современных условиях, научного и научно-технического обеспечения устойчивого развития сельского хозяйства.</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Развитие сельского хозяйства можно характеризовать постепенным переходом от экстенсивных форм ведения сельскохозяйственного производства к высокоинтенсивным технологиям и предполагает выход на качественно новый технологический уровень производства. Прогнозные показатели развития растениеводства и животноводства представлены ниже.</w:t>
      </w:r>
    </w:p>
    <w:p w:rsidR="009F787F" w:rsidRPr="00F243F5" w:rsidRDefault="009F787F" w:rsidP="009F787F">
      <w:pPr>
        <w:tabs>
          <w:tab w:val="left" w:pos="3828"/>
        </w:tabs>
        <w:spacing w:after="0" w:line="240" w:lineRule="auto"/>
        <w:jc w:val="righ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Таблица № 17</w:t>
      </w:r>
    </w:p>
    <w:p w:rsidR="009F787F" w:rsidRPr="00F243F5" w:rsidRDefault="009F787F" w:rsidP="009F787F">
      <w:pPr>
        <w:tabs>
          <w:tab w:val="left" w:pos="3828"/>
        </w:tab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Прогнозные показатели растениеводства</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p>
    <w:tbl>
      <w:tblPr>
        <w:tblW w:w="72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992"/>
        <w:gridCol w:w="1134"/>
        <w:gridCol w:w="992"/>
      </w:tblGrid>
      <w:tr w:rsidR="009F787F" w:rsidRPr="00F243F5" w:rsidTr="00A349A2">
        <w:tc>
          <w:tcPr>
            <w:tcW w:w="4111" w:type="dxa"/>
          </w:tcPr>
          <w:p w:rsidR="009F787F" w:rsidRPr="00F243F5" w:rsidRDefault="009F787F" w:rsidP="009F787F">
            <w:pPr>
              <w:tabs>
                <w:tab w:val="left" w:pos="3828"/>
              </w:tabs>
              <w:suppressAutoHyphens/>
              <w:spacing w:after="0" w:line="240" w:lineRule="auto"/>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Производство (тыс.тонн)</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2021 г.</w:t>
            </w:r>
          </w:p>
        </w:tc>
        <w:tc>
          <w:tcPr>
            <w:tcW w:w="1134"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2025 г.</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2030 г.</w:t>
            </w:r>
          </w:p>
        </w:tc>
      </w:tr>
      <w:tr w:rsidR="009F787F" w:rsidRPr="00F243F5" w:rsidTr="00A349A2">
        <w:tc>
          <w:tcPr>
            <w:tcW w:w="4111" w:type="dxa"/>
          </w:tcPr>
          <w:p w:rsidR="009F787F" w:rsidRPr="00F243F5" w:rsidRDefault="009F787F" w:rsidP="009F787F">
            <w:pPr>
              <w:tabs>
                <w:tab w:val="left" w:pos="3828"/>
              </w:tabs>
              <w:suppressAutoHyphens/>
              <w:spacing w:after="0" w:line="240" w:lineRule="auto"/>
              <w:ind w:right="-158"/>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Зерна</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200</w:t>
            </w:r>
          </w:p>
        </w:tc>
        <w:tc>
          <w:tcPr>
            <w:tcW w:w="1134"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210</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216</w:t>
            </w:r>
          </w:p>
        </w:tc>
      </w:tr>
      <w:tr w:rsidR="009F787F" w:rsidRPr="00F243F5" w:rsidTr="00A349A2">
        <w:tc>
          <w:tcPr>
            <w:tcW w:w="4111" w:type="dxa"/>
          </w:tcPr>
          <w:p w:rsidR="009F787F" w:rsidRPr="00F243F5" w:rsidRDefault="009F787F" w:rsidP="009F787F">
            <w:pPr>
              <w:tabs>
                <w:tab w:val="left" w:pos="3828"/>
              </w:tabs>
              <w:suppressAutoHyphens/>
              <w:spacing w:after="0" w:line="240" w:lineRule="auto"/>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сахарной свеклы</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320</w:t>
            </w:r>
          </w:p>
        </w:tc>
        <w:tc>
          <w:tcPr>
            <w:tcW w:w="1134"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383</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432</w:t>
            </w:r>
          </w:p>
        </w:tc>
      </w:tr>
      <w:tr w:rsidR="009F787F" w:rsidRPr="00F243F5" w:rsidTr="00A349A2">
        <w:tc>
          <w:tcPr>
            <w:tcW w:w="4111" w:type="dxa"/>
          </w:tcPr>
          <w:p w:rsidR="009F787F" w:rsidRPr="00F243F5" w:rsidRDefault="009F787F" w:rsidP="009F787F">
            <w:pPr>
              <w:tabs>
                <w:tab w:val="left" w:pos="3828"/>
              </w:tabs>
              <w:suppressAutoHyphens/>
              <w:spacing w:after="0" w:line="240" w:lineRule="auto"/>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Грубых и сочных кормов в расчете на корм.ед.</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79,3</w:t>
            </w:r>
          </w:p>
        </w:tc>
        <w:tc>
          <w:tcPr>
            <w:tcW w:w="1134"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90,3</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104,2</w:t>
            </w:r>
          </w:p>
        </w:tc>
      </w:tr>
      <w:tr w:rsidR="009F787F" w:rsidRPr="00F243F5" w:rsidTr="00A349A2">
        <w:tc>
          <w:tcPr>
            <w:tcW w:w="4111" w:type="dxa"/>
          </w:tcPr>
          <w:p w:rsidR="009F787F" w:rsidRPr="00F243F5" w:rsidRDefault="009F787F" w:rsidP="009F787F">
            <w:pPr>
              <w:tabs>
                <w:tab w:val="left" w:pos="3828"/>
              </w:tabs>
              <w:suppressAutoHyphens/>
              <w:spacing w:after="0" w:line="240" w:lineRule="auto"/>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Урожайность(ц/га)</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p>
        </w:tc>
        <w:tc>
          <w:tcPr>
            <w:tcW w:w="1134"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p>
        </w:tc>
      </w:tr>
      <w:tr w:rsidR="009F787F" w:rsidRPr="00F243F5" w:rsidTr="00A349A2">
        <w:tc>
          <w:tcPr>
            <w:tcW w:w="4111" w:type="dxa"/>
          </w:tcPr>
          <w:p w:rsidR="009F787F" w:rsidRPr="00F243F5" w:rsidRDefault="009F787F" w:rsidP="009F787F">
            <w:pPr>
              <w:tabs>
                <w:tab w:val="left" w:pos="3828"/>
              </w:tabs>
              <w:suppressAutoHyphens/>
              <w:spacing w:after="0" w:line="240" w:lineRule="auto"/>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зерновых       </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40</w:t>
            </w:r>
          </w:p>
        </w:tc>
        <w:tc>
          <w:tcPr>
            <w:tcW w:w="1134"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43</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45</w:t>
            </w:r>
          </w:p>
        </w:tc>
      </w:tr>
      <w:tr w:rsidR="009F787F" w:rsidRPr="00F243F5" w:rsidTr="00A349A2">
        <w:tc>
          <w:tcPr>
            <w:tcW w:w="4111" w:type="dxa"/>
          </w:tcPr>
          <w:p w:rsidR="009F787F" w:rsidRPr="00F243F5" w:rsidRDefault="009F787F" w:rsidP="009F787F">
            <w:pPr>
              <w:tabs>
                <w:tab w:val="left" w:pos="3828"/>
              </w:tabs>
              <w:suppressAutoHyphens/>
              <w:spacing w:after="0" w:line="240" w:lineRule="auto"/>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сахарной свеклы </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400</w:t>
            </w:r>
          </w:p>
        </w:tc>
        <w:tc>
          <w:tcPr>
            <w:tcW w:w="1134"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450</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480</w:t>
            </w:r>
          </w:p>
        </w:tc>
      </w:tr>
      <w:tr w:rsidR="009F787F" w:rsidRPr="00F243F5" w:rsidTr="00A349A2">
        <w:tc>
          <w:tcPr>
            <w:tcW w:w="4111" w:type="dxa"/>
          </w:tcPr>
          <w:p w:rsidR="009F787F" w:rsidRPr="00F243F5" w:rsidRDefault="009F787F" w:rsidP="009F787F">
            <w:pPr>
              <w:tabs>
                <w:tab w:val="left" w:pos="3828"/>
              </w:tabs>
              <w:suppressAutoHyphens/>
              <w:spacing w:after="0" w:line="240" w:lineRule="auto"/>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Кормовых (цн.к.ед.)</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39</w:t>
            </w:r>
          </w:p>
        </w:tc>
        <w:tc>
          <w:tcPr>
            <w:tcW w:w="1134"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42</w:t>
            </w:r>
          </w:p>
        </w:tc>
        <w:tc>
          <w:tcPr>
            <w:tcW w:w="992" w:type="dxa"/>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44</w:t>
            </w:r>
          </w:p>
        </w:tc>
      </w:tr>
    </w:tbl>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Прогнозные показатели животноводства</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b/>
          <w:sz w:val="28"/>
          <w:szCs w:val="28"/>
          <w:lang w:eastAsia="ar-SA"/>
        </w:rPr>
      </w:pP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       По сельскохозяйственным организациям и крестьянским (фермерским) хозяйствам рост численности поголовья крупного рогатого скота за период с 2015 по 2030 годы составит 25% (30 тыс. голов к 2030 году) в том числе коров на 32% (8 тыс.голов к 2030 году).                                    </w:t>
      </w: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b/>
          <w:sz w:val="28"/>
          <w:szCs w:val="28"/>
          <w:lang w:eastAsia="ar-SA"/>
        </w:rPr>
      </w:pP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b/>
          <w:sz w:val="28"/>
          <w:szCs w:val="28"/>
          <w:lang w:eastAsia="ar-SA"/>
        </w:rPr>
      </w:pP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b/>
          <w:sz w:val="28"/>
          <w:szCs w:val="28"/>
          <w:lang w:eastAsia="ar-SA"/>
        </w:rPr>
      </w:pP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b/>
          <w:sz w:val="28"/>
          <w:szCs w:val="28"/>
          <w:lang w:eastAsia="ar-SA"/>
        </w:rPr>
      </w:pPr>
      <w:r w:rsidRPr="00F243F5">
        <w:rPr>
          <w:rFonts w:ascii="Times New Roman" w:eastAsia="Times New Roman" w:hAnsi="Times New Roman" w:cs="Times New Roman"/>
          <w:b/>
          <w:sz w:val="28"/>
          <w:szCs w:val="28"/>
          <w:lang w:eastAsia="ar-SA"/>
        </w:rPr>
        <w:lastRenderedPageBreak/>
        <w:t>Рис.5 Поголовье КРС, тыс.гол.</w:t>
      </w: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b/>
          <w:sz w:val="28"/>
          <w:szCs w:val="28"/>
          <w:lang w:eastAsia="ar-SA"/>
        </w:rPr>
      </w:pP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noProof/>
          <w:sz w:val="28"/>
          <w:szCs w:val="28"/>
          <w:lang w:eastAsia="ru-RU"/>
        </w:rPr>
        <w:drawing>
          <wp:inline distT="0" distB="0" distL="0" distR="0" wp14:anchorId="2D9FA269" wp14:editId="60266258">
            <wp:extent cx="5467350" cy="2247900"/>
            <wp:effectExtent l="0" t="0" r="0" b="0"/>
            <wp:docPr id="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 Производство молока в 2030 году составит 52  тыс.тонн, рост к уровню 2015 года  48 %, в расчете на 100 га с\х угодий 431 ц. Продуктивность на 1 корову вырастет на 11% (6500 кг к 2030 году) </w:t>
      </w: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b/>
          <w:sz w:val="28"/>
          <w:szCs w:val="28"/>
          <w:lang w:eastAsia="ar-SA"/>
        </w:rPr>
      </w:pP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b/>
          <w:sz w:val="28"/>
          <w:szCs w:val="28"/>
          <w:lang w:eastAsia="ar-SA"/>
        </w:rPr>
      </w:pP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Рис.6 Производство молока всего, тыс.тн.</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b/>
          <w:sz w:val="28"/>
          <w:szCs w:val="28"/>
          <w:lang w:eastAsia="ar-SA"/>
        </w:rPr>
      </w:pPr>
      <w:r w:rsidRPr="00F243F5">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3B97BFC2" wp14:editId="47A43DA2">
                <wp:simplePos x="0" y="0"/>
                <wp:positionH relativeFrom="column">
                  <wp:posOffset>991235</wp:posOffset>
                </wp:positionH>
                <wp:positionV relativeFrom="paragraph">
                  <wp:posOffset>952500</wp:posOffset>
                </wp:positionV>
                <wp:extent cx="414020" cy="226695"/>
                <wp:effectExtent l="0" t="0" r="24130" b="20955"/>
                <wp:wrapNone/>
                <wp:docPr id="19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226695"/>
                        </a:xfrm>
                        <a:prstGeom prst="roundRect">
                          <a:avLst>
                            <a:gd name="adj" fmla="val 16667"/>
                          </a:avLst>
                        </a:prstGeom>
                        <a:solidFill>
                          <a:srgbClr val="FFFFFF"/>
                        </a:solidFill>
                        <a:ln w="25400">
                          <a:solidFill>
                            <a:srgbClr val="C0504D"/>
                          </a:solidFill>
                          <a:round/>
                          <a:headEnd/>
                          <a:tailEnd/>
                        </a:ln>
                      </wps:spPr>
                      <wps:txbx>
                        <w:txbxContent>
                          <w:p w:rsidR="00F243F5" w:rsidRPr="00C73931" w:rsidRDefault="00F243F5" w:rsidP="009F787F">
                            <w:pPr>
                              <w:rPr>
                                <w:sz w:val="14"/>
                                <w:szCs w:val="20"/>
                              </w:rPr>
                            </w:pPr>
                            <w:r w:rsidRPr="00C73931">
                              <w:rPr>
                                <w:sz w:val="14"/>
                                <w:szCs w:val="20"/>
                              </w:rPr>
                              <w:t>5836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7BFC2" id="AutoShape 2" o:spid="_x0000_s1027" style="position:absolute;left:0;text-align:left;margin-left:78.05pt;margin-top:75pt;width:32.6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" strokecolor="#c0504d" strokeweight="2pt">
                <v:textbox>
                  <w:txbxContent>
                    <w:p w:rsidR="00F243F5" w:rsidRPr="00C73931" w:rsidRDefault="00F243F5" w:rsidP="009F787F">
                      <w:pPr>
                        <w:rPr>
                          <w:sz w:val="14"/>
                          <w:szCs w:val="20"/>
                        </w:rPr>
                      </w:pPr>
                      <w:r w:rsidRPr="00C73931">
                        <w:rPr>
                          <w:sz w:val="14"/>
                          <w:szCs w:val="20"/>
                        </w:rPr>
                        <w:t>5836</w:t>
                      </w:r>
                    </w:p>
                  </w:txbxContent>
                </v:textbox>
              </v:roundrect>
            </w:pict>
          </mc:Fallback>
        </mc:AlternateContent>
      </w:r>
      <w:r w:rsidRPr="00F243F5">
        <w:rPr>
          <w:rFonts w:ascii="Times New Roman" w:eastAsia="Times New Roman" w:hAnsi="Times New Roman" w:cs="Times New Roman"/>
          <w:b/>
          <w:noProof/>
          <w:sz w:val="28"/>
          <w:szCs w:val="28"/>
          <w:lang w:eastAsia="ru-RU"/>
        </w:rPr>
        <w:drawing>
          <wp:inline distT="0" distB="0" distL="0" distR="0" wp14:anchorId="02DD469F" wp14:editId="7DEB0246">
            <wp:extent cx="4467225" cy="1828800"/>
            <wp:effectExtent l="0" t="0" r="0" b="0"/>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Интенсивность производства мяса на 100 га сельскохозяйственных угодий составит к 2030 году 163,9 цн (+35,3 ц к 2015 году) а общее производство мяса – 19,8 тыс.тонн</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Рис.7 Производство мяса  всего, тыс.тн.</w:t>
      </w:r>
    </w:p>
    <w:p w:rsidR="009F787F" w:rsidRPr="00F243F5" w:rsidRDefault="009F787F" w:rsidP="009F787F">
      <w:pPr>
        <w:tabs>
          <w:tab w:val="left" w:pos="3828"/>
        </w:tabs>
        <w:suppressAutoHyphens/>
        <w:spacing w:after="0" w:line="240" w:lineRule="auto"/>
        <w:ind w:firstLine="709"/>
        <w:rPr>
          <w:rFonts w:ascii="Times New Roman" w:eastAsia="Times New Roman" w:hAnsi="Times New Roman" w:cs="Times New Roman"/>
          <w:sz w:val="28"/>
          <w:szCs w:val="28"/>
          <w:lang w:eastAsia="ar-SA"/>
        </w:rPr>
      </w:pP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noProof/>
          <w:sz w:val="28"/>
          <w:szCs w:val="28"/>
          <w:lang w:eastAsia="ru-RU"/>
        </w:rPr>
        <w:drawing>
          <wp:inline distT="0" distB="0" distL="0" distR="0" wp14:anchorId="3BC32055" wp14:editId="47BC32D2">
            <wp:extent cx="5086350" cy="2143125"/>
            <wp:effectExtent l="0" t="0" r="0" b="0"/>
            <wp:docPr id="5"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lastRenderedPageBreak/>
        <w:t>Основное направление в развитие высокотехнологических семейных ферм занимает мясное и молочное скотоводство. Их удельный вес в общей численности составляет 73%.</w:t>
      </w:r>
    </w:p>
    <w:p w:rsidR="009F787F" w:rsidRPr="00F243F5" w:rsidRDefault="009F787F" w:rsidP="009F787F">
      <w:pPr>
        <w:tabs>
          <w:tab w:val="left" w:pos="3828"/>
        </w:tabs>
        <w:suppressAutoHyphens/>
        <w:spacing w:after="0" w:line="240" w:lineRule="auto"/>
        <w:ind w:firstLine="709"/>
        <w:jc w:val="righ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Таблица № 18</w:t>
      </w:r>
    </w:p>
    <w:p w:rsidR="00F243F5" w:rsidRPr="00F243F5" w:rsidRDefault="009F787F" w:rsidP="009F787F">
      <w:pPr>
        <w:tabs>
          <w:tab w:val="left" w:pos="3828"/>
        </w:tabs>
        <w:suppressAutoHyphens/>
        <w:spacing w:after="0" w:line="240" w:lineRule="auto"/>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Создание высокотехнологических животноводческих семейных ферм</w:t>
      </w:r>
    </w:p>
    <w:tbl>
      <w:tblPr>
        <w:tblW w:w="9639" w:type="dxa"/>
        <w:tblInd w:w="108" w:type="dxa"/>
        <w:tblLayout w:type="fixed"/>
        <w:tblLook w:val="04A0" w:firstRow="1" w:lastRow="0" w:firstColumn="1" w:lastColumn="0" w:noHBand="0" w:noVBand="1"/>
      </w:tblPr>
      <w:tblGrid>
        <w:gridCol w:w="851"/>
        <w:gridCol w:w="850"/>
        <w:gridCol w:w="709"/>
        <w:gridCol w:w="709"/>
        <w:gridCol w:w="850"/>
        <w:gridCol w:w="851"/>
        <w:gridCol w:w="709"/>
        <w:gridCol w:w="708"/>
        <w:gridCol w:w="851"/>
        <w:gridCol w:w="850"/>
        <w:gridCol w:w="851"/>
        <w:gridCol w:w="850"/>
      </w:tblGrid>
      <w:tr w:rsidR="009F787F" w:rsidRPr="00F243F5" w:rsidTr="00A349A2">
        <w:trPr>
          <w:trHeight w:val="37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Кол-во ферм</w:t>
            </w:r>
          </w:p>
        </w:tc>
        <w:tc>
          <w:tcPr>
            <w:tcW w:w="3828" w:type="dxa"/>
            <w:gridSpan w:val="5"/>
            <w:tcBorders>
              <w:top w:val="single" w:sz="4" w:space="0" w:color="auto"/>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в т.ч.</w:t>
            </w:r>
          </w:p>
        </w:tc>
        <w:tc>
          <w:tcPr>
            <w:tcW w:w="4110" w:type="dxa"/>
            <w:gridSpan w:val="5"/>
            <w:tcBorders>
              <w:top w:val="single" w:sz="4" w:space="0" w:color="auto"/>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Поголовье скота, гол.</w:t>
            </w:r>
          </w:p>
        </w:tc>
      </w:tr>
      <w:tr w:rsidR="009F787F" w:rsidRPr="00F243F5" w:rsidTr="00A349A2">
        <w:trPr>
          <w:trHeight w:val="96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Times New Roman" w:hAnsi="Times New Roman" w:cs="Times New Roman"/>
                <w:bCs/>
                <w:sz w:val="28"/>
                <w:szCs w:val="28"/>
                <w:lang w:eastAsia="ar-SA"/>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Times New Roman" w:hAnsi="Times New Roman" w:cs="Times New Roman"/>
                <w:bCs/>
                <w:sz w:val="28"/>
                <w:szCs w:val="28"/>
                <w:lang w:eastAsia="ar-SA"/>
              </w:rPr>
            </w:pP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мо-лочные</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от-корм КРС</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овце и козо ферм</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Конеферм</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птичники</w:t>
            </w:r>
          </w:p>
        </w:tc>
        <w:tc>
          <w:tcPr>
            <w:tcW w:w="708"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КРС</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в т.ч. коров</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овец и коз</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лошадей</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птиц</w:t>
            </w:r>
          </w:p>
        </w:tc>
      </w:tr>
      <w:tr w:rsidR="009F787F" w:rsidRPr="00F243F5" w:rsidTr="00A349A2">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2015</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11</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w:t>
            </w:r>
          </w:p>
        </w:tc>
        <w:tc>
          <w:tcPr>
            <w:tcW w:w="708"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327</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161</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180</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32</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550</w:t>
            </w:r>
          </w:p>
        </w:tc>
      </w:tr>
      <w:tr w:rsidR="009F787F" w:rsidRPr="00F243F5" w:rsidTr="00A349A2">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2021</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25</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11</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6</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w:t>
            </w:r>
          </w:p>
        </w:tc>
        <w:tc>
          <w:tcPr>
            <w:tcW w:w="708"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950</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385</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450</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70</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10550</w:t>
            </w:r>
          </w:p>
        </w:tc>
      </w:tr>
      <w:tr w:rsidR="009F787F" w:rsidRPr="00F243F5" w:rsidTr="00A349A2">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2025</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39</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18</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11</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w:t>
            </w:r>
          </w:p>
        </w:tc>
        <w:tc>
          <w:tcPr>
            <w:tcW w:w="708"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1490</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590</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600</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80</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15000</w:t>
            </w:r>
          </w:p>
        </w:tc>
      </w:tr>
      <w:tr w:rsidR="009F787F" w:rsidRPr="00F243F5" w:rsidTr="00A349A2">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2030</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48</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21</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14</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w:t>
            </w:r>
          </w:p>
        </w:tc>
        <w:tc>
          <w:tcPr>
            <w:tcW w:w="709"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w:t>
            </w:r>
          </w:p>
        </w:tc>
        <w:tc>
          <w:tcPr>
            <w:tcW w:w="708"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1980</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850</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750</w:t>
            </w:r>
          </w:p>
        </w:tc>
        <w:tc>
          <w:tcPr>
            <w:tcW w:w="851"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150</w:t>
            </w:r>
          </w:p>
        </w:tc>
        <w:tc>
          <w:tcPr>
            <w:tcW w:w="850" w:type="dxa"/>
            <w:tcBorders>
              <w:top w:val="nil"/>
              <w:left w:val="nil"/>
              <w:bottom w:val="single" w:sz="4" w:space="0" w:color="auto"/>
              <w:right w:val="single" w:sz="4" w:space="0" w:color="auto"/>
            </w:tcBorders>
            <w:shd w:val="clear" w:color="auto" w:fill="auto"/>
            <w:vAlign w:val="center"/>
            <w:hideMark/>
          </w:tcPr>
          <w:p w:rsidR="009F787F" w:rsidRPr="00F243F5" w:rsidRDefault="009F787F" w:rsidP="009F787F">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20000</w:t>
            </w:r>
          </w:p>
        </w:tc>
      </w:tr>
    </w:tbl>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b/>
          <w:sz w:val="28"/>
          <w:szCs w:val="28"/>
          <w:lang w:eastAsia="ar-SA"/>
        </w:rPr>
      </w:pP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В сельском хозяйстве планируется снижение численности занятых, которое должно компенсироваться ростом производительности труда в этой сфере деятельности. Численность занятого населения в сельском хозяйстве в 2021 г. составит 2280 человек, а к 2030 г. – 2150 человек.</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Задача привлекательности условий жизни сельского населения и, прежде всего, обеспечения сельского населения комфортным жильем, обозначена в федеральной целевой программе «Социальное развитие села».</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В связи с тем, что агропромышленный комплекс представляет собой комплекс взаимосвязанных отраслей, необходимо учитывать развитие не только непосредственно сельского хозяйства, направленного на производство сельскохозяйственной продукции, но и сопутствующих сфер.</w:t>
      </w: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b/>
          <w:sz w:val="28"/>
          <w:szCs w:val="28"/>
          <w:lang w:eastAsia="ru-RU"/>
        </w:rPr>
      </w:pPr>
    </w:p>
    <w:p w:rsidR="009F787F" w:rsidRPr="00F243F5" w:rsidRDefault="009F787F" w:rsidP="009F787F">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ru-RU"/>
        </w:rPr>
        <w:t>Целевые показатели реализации Стратегии социально-экономического развития Буинского муниципального района до 2030 года</w:t>
      </w:r>
    </w:p>
    <w:p w:rsidR="009F787F" w:rsidRPr="00F243F5" w:rsidRDefault="009F787F" w:rsidP="009F787F">
      <w:pPr>
        <w:tabs>
          <w:tab w:val="left" w:pos="3828"/>
        </w:tabs>
        <w:suppressAutoHyphens/>
        <w:spacing w:after="0" w:line="240" w:lineRule="auto"/>
        <w:ind w:firstLine="709"/>
        <w:jc w:val="righ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Таблица № 19</w:t>
      </w:r>
    </w:p>
    <w:p w:rsidR="009F787F" w:rsidRPr="00F243F5" w:rsidRDefault="009F787F" w:rsidP="009F787F">
      <w:pPr>
        <w:tabs>
          <w:tab w:val="left" w:pos="3828"/>
        </w:tabs>
        <w:suppressAutoHyphens/>
        <w:spacing w:after="0" w:line="100" w:lineRule="atLeast"/>
        <w:jc w:val="center"/>
        <w:rPr>
          <w:rFonts w:ascii="Times New Roman" w:eastAsia="Times New Roman" w:hAnsi="Times New Roman" w:cs="Times New Roman"/>
          <w:b/>
          <w:bCs/>
          <w:sz w:val="28"/>
          <w:szCs w:val="28"/>
          <w:lang w:eastAsia="ar-SA"/>
        </w:rPr>
      </w:pPr>
    </w:p>
    <w:tbl>
      <w:tblPr>
        <w:tblW w:w="10148" w:type="dxa"/>
        <w:tblInd w:w="108" w:type="dxa"/>
        <w:tblLayout w:type="fixed"/>
        <w:tblCellMar>
          <w:left w:w="0" w:type="dxa"/>
          <w:right w:w="0" w:type="dxa"/>
        </w:tblCellMar>
        <w:tblLook w:val="04A0" w:firstRow="1" w:lastRow="0" w:firstColumn="1" w:lastColumn="0" w:noHBand="0" w:noVBand="1"/>
      </w:tblPr>
      <w:tblGrid>
        <w:gridCol w:w="1985"/>
        <w:gridCol w:w="2008"/>
        <w:gridCol w:w="756"/>
        <w:gridCol w:w="756"/>
        <w:gridCol w:w="863"/>
        <w:gridCol w:w="756"/>
        <w:gridCol w:w="756"/>
        <w:gridCol w:w="756"/>
        <w:gridCol w:w="756"/>
        <w:gridCol w:w="756"/>
      </w:tblGrid>
      <w:tr w:rsidR="009F787F" w:rsidRPr="00F243F5" w:rsidTr="00F243F5">
        <w:trPr>
          <w:trHeight w:val="311"/>
          <w:tblHeader/>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Показатели</w:t>
            </w:r>
          </w:p>
        </w:tc>
        <w:tc>
          <w:tcPr>
            <w:tcW w:w="2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Годы</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2015</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2016</w:t>
            </w:r>
          </w:p>
        </w:tc>
        <w:tc>
          <w:tcPr>
            <w:tcW w:w="8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2018</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2020</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2021</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2024</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2025</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2030</w:t>
            </w:r>
          </w:p>
        </w:tc>
      </w:tr>
      <w:tr w:rsidR="009F787F" w:rsidRPr="00F243F5" w:rsidTr="00F243F5">
        <w:trPr>
          <w:trHeight w:val="417"/>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Темп роста в ВТП в сопоставимыхценах,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104,7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102,6</w:t>
            </w:r>
          </w:p>
        </w:tc>
      </w:tr>
      <w:tr w:rsidR="009F787F" w:rsidRPr="00F243F5" w:rsidTr="00F243F5">
        <w:trPr>
          <w:trHeight w:val="268"/>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100,6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ind w:right="-108"/>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101,72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111,7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100,8</w:t>
            </w:r>
          </w:p>
        </w:tc>
      </w:tr>
      <w:tr w:rsidR="009F787F" w:rsidRPr="00F243F5" w:rsidTr="00F243F5">
        <w:trPr>
          <w:trHeight w:val="429"/>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105,7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102,5</w:t>
            </w:r>
          </w:p>
        </w:tc>
      </w:tr>
      <w:tr w:rsidR="009F787F" w:rsidRPr="00F243F5" w:rsidTr="00F243F5">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3F5" w:rsidRDefault="009F787F" w:rsidP="009F787F">
            <w:pPr>
              <w:tabs>
                <w:tab w:val="left" w:pos="3828"/>
              </w:tabs>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lastRenderedPageBreak/>
              <w:t xml:space="preserve">Производительность труда,  </w:t>
            </w:r>
          </w:p>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млн. рублей</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1,10</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1,53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1,81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1,90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2,48</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1,08</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1,44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1,54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1,93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2,05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2,76</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1,13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1,62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1,80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2,55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3,30</w:t>
            </w:r>
          </w:p>
        </w:tc>
      </w:tr>
      <w:tr w:rsidR="009F787F" w:rsidRPr="00F243F5" w:rsidTr="00F243F5">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Среднегодовая численность населения, тыс. чел.</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42,2</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42,5</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44,4</w:t>
            </w:r>
          </w:p>
        </w:tc>
      </w:tr>
      <w:tr w:rsidR="009F787F" w:rsidRPr="00F243F5" w:rsidTr="00F243F5">
        <w:trPr>
          <w:trHeight w:val="361"/>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Коэффициент рождаемости</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12,6</w:t>
            </w:r>
          </w:p>
        </w:tc>
      </w:tr>
      <w:tr w:rsidR="009F787F" w:rsidRPr="00F243F5" w:rsidTr="00F243F5">
        <w:trPr>
          <w:trHeight w:val="361"/>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13,1</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14</w:t>
            </w:r>
          </w:p>
        </w:tc>
      </w:tr>
      <w:tr w:rsidR="009F787F" w:rsidRPr="00F243F5" w:rsidTr="00F243F5">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Уровень безработицы,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0,41</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0,39</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0,34</w:t>
            </w:r>
          </w:p>
        </w:tc>
      </w:tr>
      <w:tr w:rsidR="009F787F" w:rsidRPr="00F243F5" w:rsidTr="00F243F5">
        <w:trPr>
          <w:trHeight w:val="310"/>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Среднесписочная численность работающих, тыс. чел.</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9,2</w:t>
            </w:r>
          </w:p>
        </w:tc>
      </w:tr>
      <w:tr w:rsidR="009F787F" w:rsidRPr="00F243F5" w:rsidTr="00F243F5">
        <w:trPr>
          <w:trHeight w:val="310"/>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9,4</w:t>
            </w:r>
          </w:p>
        </w:tc>
      </w:tr>
      <w:tr w:rsidR="009F787F" w:rsidRPr="00F243F5" w:rsidTr="00F243F5">
        <w:trPr>
          <w:trHeight w:val="285"/>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10,85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11,6</w:t>
            </w:r>
          </w:p>
        </w:tc>
      </w:tr>
      <w:tr w:rsidR="009F787F" w:rsidRPr="00F243F5" w:rsidTr="00F243F5">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Обеспеченность общей площадью жилья в расчете на одного жителя, кв. метров</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29,3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29,8</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31,6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32,9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34,9</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29,3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30</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30,5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31,4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33,9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36</w:t>
            </w:r>
          </w:p>
        </w:tc>
      </w:tr>
      <w:tr w:rsidR="009F787F" w:rsidRPr="00F243F5" w:rsidTr="00F243F5">
        <w:trPr>
          <w:trHeight w:val="499"/>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29,3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30,2</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30,7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31,8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37,1</w:t>
            </w:r>
          </w:p>
        </w:tc>
      </w:tr>
      <w:tr w:rsidR="009F787F" w:rsidRPr="00F243F5" w:rsidTr="00F243F5">
        <w:trPr>
          <w:trHeight w:val="557"/>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lastRenderedPageBreak/>
              <w:t>Доля населения, систематически занимающихся физической культурой и спортом,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45,1</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48,1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48,5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49,8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50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52,4</w:t>
            </w:r>
          </w:p>
        </w:tc>
      </w:tr>
      <w:tr w:rsidR="009F787F" w:rsidRPr="00F243F5" w:rsidTr="00F243F5">
        <w:trPr>
          <w:trHeight w:val="471"/>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45,3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47,3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48,4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48,7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50,1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50,2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53,1</w:t>
            </w:r>
          </w:p>
        </w:tc>
      </w:tr>
      <w:tr w:rsidR="009F787F" w:rsidRPr="00F243F5" w:rsidTr="00F243F5">
        <w:trPr>
          <w:trHeight w:val="487"/>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45,7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47,8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48,9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49,2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51,3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51,5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54,2</w:t>
            </w:r>
          </w:p>
        </w:tc>
      </w:tr>
      <w:tr w:rsidR="009F787F" w:rsidRPr="00F243F5" w:rsidTr="00F243F5">
        <w:trPr>
          <w:trHeight w:val="499"/>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Объем туристского потока, тыс. чел.</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r>
      <w:tr w:rsidR="009F787F" w:rsidRPr="00F243F5" w:rsidTr="00F243F5">
        <w:trPr>
          <w:trHeight w:val="282"/>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r>
      <w:tr w:rsidR="009F787F" w:rsidRPr="00F243F5" w:rsidTr="00F243F5">
        <w:trPr>
          <w:trHeight w:val="276"/>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p>
        </w:tc>
      </w:tr>
      <w:tr w:rsidR="009F787F" w:rsidRPr="00F243F5" w:rsidTr="00F243F5">
        <w:trPr>
          <w:trHeight w:val="463"/>
        </w:trPr>
        <w:tc>
          <w:tcPr>
            <w:tcW w:w="1985" w:type="dxa"/>
            <w:vMerge w:val="restart"/>
            <w:tcBorders>
              <w:top w:val="nil"/>
              <w:left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Перевозка пассажиров автобусами, млн. чел. в год</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0,35</w:t>
            </w:r>
          </w:p>
        </w:tc>
      </w:tr>
      <w:tr w:rsidR="009F787F" w:rsidRPr="00F243F5" w:rsidTr="00F243F5">
        <w:trPr>
          <w:trHeight w:val="463"/>
        </w:trPr>
        <w:tc>
          <w:tcPr>
            <w:tcW w:w="1985" w:type="dxa"/>
            <w:vMerge/>
            <w:tcBorders>
              <w:left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0,37</w:t>
            </w:r>
          </w:p>
        </w:tc>
      </w:tr>
      <w:tr w:rsidR="009F787F" w:rsidRPr="00F243F5" w:rsidTr="00F243F5">
        <w:trPr>
          <w:trHeight w:val="463"/>
        </w:trPr>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0,40</w:t>
            </w:r>
          </w:p>
        </w:tc>
      </w:tr>
      <w:tr w:rsidR="009F787F" w:rsidRPr="00F243F5" w:rsidTr="00F243F5">
        <w:trPr>
          <w:trHeight w:val="463"/>
        </w:trPr>
        <w:tc>
          <w:tcPr>
            <w:tcW w:w="1985" w:type="dxa"/>
            <w:vMerge w:val="restart"/>
            <w:tcBorders>
              <w:top w:val="nil"/>
              <w:left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Доля экспорта муниципального образования в общем объеме экспорта Республики Татарстан,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r>
      <w:tr w:rsidR="009F787F" w:rsidRPr="00F243F5" w:rsidTr="00F243F5">
        <w:trPr>
          <w:trHeight w:val="463"/>
        </w:trPr>
        <w:tc>
          <w:tcPr>
            <w:tcW w:w="1985" w:type="dxa"/>
            <w:vMerge/>
            <w:tcBorders>
              <w:left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r>
      <w:tr w:rsidR="009F787F" w:rsidRPr="00F243F5" w:rsidTr="00F243F5">
        <w:trPr>
          <w:trHeight w:val="463"/>
        </w:trPr>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w:t>
            </w:r>
          </w:p>
        </w:tc>
      </w:tr>
      <w:tr w:rsidR="009F787F" w:rsidRPr="00F243F5" w:rsidTr="00F243F5">
        <w:trPr>
          <w:trHeight w:val="463"/>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Доля малого и среднего бизнеса в ВТП,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25,5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25,9</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26,7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27,8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28,5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31,4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34</w:t>
            </w:r>
          </w:p>
        </w:tc>
      </w:tr>
      <w:tr w:rsidR="009F787F" w:rsidRPr="00F243F5" w:rsidTr="00F243F5">
        <w:trPr>
          <w:trHeight w:val="358"/>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25,5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26,0</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26,9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29,1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40</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25,5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26,5</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27,4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28,5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29,6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36,4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43</w:t>
            </w:r>
          </w:p>
        </w:tc>
      </w:tr>
      <w:tr w:rsidR="009F787F" w:rsidRPr="00F243F5" w:rsidTr="00F243F5">
        <w:trPr>
          <w:trHeight w:val="420"/>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 xml:space="preserve">Доля среднесписочной численности работников (без внешних совместителей) малых и средних предприятий в среднесписочной численности </w:t>
            </w:r>
            <w:r w:rsidRPr="00F243F5">
              <w:rPr>
                <w:rFonts w:ascii="Times New Roman" w:eastAsia="Times New Roman" w:hAnsi="Times New Roman" w:cs="Times New Roman"/>
                <w:sz w:val="24"/>
                <w:szCs w:val="24"/>
                <w:lang w:eastAsia="ar-SA"/>
              </w:rPr>
              <w:lastRenderedPageBreak/>
              <w:t>работников (без внешних совместителей) всех предприятий и организаций,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lastRenderedPageBreak/>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20,6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20,4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21,9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28,1</w:t>
            </w:r>
          </w:p>
        </w:tc>
      </w:tr>
      <w:tr w:rsidR="009F787F" w:rsidRPr="00F243F5" w:rsidTr="00F243F5">
        <w:trPr>
          <w:trHeight w:val="320"/>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20,6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21,4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23,9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25,7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26,3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29,4</w:t>
            </w:r>
          </w:p>
        </w:tc>
      </w:tr>
      <w:tr w:rsidR="009F787F" w:rsidRPr="00F243F5" w:rsidTr="00F243F5">
        <w:trPr>
          <w:trHeight w:val="409"/>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20,6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21,8</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25,4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29,5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34</w:t>
            </w:r>
          </w:p>
        </w:tc>
      </w:tr>
      <w:tr w:rsidR="009F787F" w:rsidRPr="00F243F5" w:rsidTr="00F243F5">
        <w:trPr>
          <w:trHeight w:val="505"/>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lastRenderedPageBreak/>
              <w:t>Доля инновационной продукции в общем объеме промышленного производства,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0,38</w:t>
            </w:r>
          </w:p>
        </w:tc>
      </w:tr>
      <w:tr w:rsidR="009F787F" w:rsidRPr="00F243F5" w:rsidTr="00F243F5">
        <w:trPr>
          <w:trHeight w:val="419"/>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0,40</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0,35</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0,43</w:t>
            </w:r>
          </w:p>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p>
        </w:tc>
      </w:tr>
      <w:tr w:rsidR="009F787F" w:rsidRPr="00F243F5" w:rsidTr="00F243F5">
        <w:trPr>
          <w:trHeight w:val="529"/>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Степень озеленения поселений (отношение площади, занятой под зеленые насаждения, к общей площади поселения),%</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w:t>
            </w:r>
          </w:p>
        </w:tc>
      </w:tr>
      <w:tr w:rsidR="009F787F" w:rsidRPr="00F243F5" w:rsidTr="00F243F5">
        <w:trPr>
          <w:trHeight w:val="409"/>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w:t>
            </w:r>
          </w:p>
        </w:tc>
      </w:tr>
      <w:tr w:rsidR="009F787F" w:rsidRPr="00F243F5" w:rsidTr="00F243F5">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14</w:t>
            </w:r>
          </w:p>
        </w:tc>
      </w:tr>
      <w:tr w:rsidR="009F787F" w:rsidRPr="00F243F5" w:rsidTr="00F243F5">
        <w:trPr>
          <w:trHeight w:val="499"/>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autoSpaceDE w:val="0"/>
              <w:autoSpaceDN w:val="0"/>
              <w:spacing w:after="0" w:line="240" w:lineRule="auto"/>
              <w:jc w:val="center"/>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Доля муниципального района (городского округа) в суммарных республиканских инвестициях в основной капитал,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0,29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0,29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0,25</w:t>
            </w:r>
          </w:p>
        </w:tc>
      </w:tr>
      <w:tr w:rsidR="009F787F" w:rsidRPr="00F243F5" w:rsidTr="00F243F5">
        <w:trPr>
          <w:trHeight w:val="421"/>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0,45</w:t>
            </w:r>
          </w:p>
        </w:tc>
      </w:tr>
      <w:tr w:rsidR="009F787F" w:rsidRPr="00F243F5" w:rsidTr="00F243F5">
        <w:trPr>
          <w:trHeight w:val="447"/>
        </w:trPr>
        <w:tc>
          <w:tcPr>
            <w:tcW w:w="1985" w:type="dxa"/>
            <w:vMerge/>
            <w:tcBorders>
              <w:top w:val="nil"/>
              <w:left w:val="single" w:sz="8" w:space="0" w:color="auto"/>
              <w:bottom w:val="single" w:sz="8" w:space="0" w:color="auto"/>
              <w:right w:val="single" w:sz="8" w:space="0" w:color="auto"/>
            </w:tcBorders>
            <w:vAlign w:val="center"/>
            <w:hideMark/>
          </w:tcPr>
          <w:p w:rsidR="009F787F" w:rsidRPr="00F243F5" w:rsidRDefault="009F787F" w:rsidP="009F787F">
            <w:pPr>
              <w:tabs>
                <w:tab w:val="left" w:pos="3828"/>
              </w:tabs>
              <w:suppressAutoHyphens/>
              <w:spacing w:after="0" w:line="240" w:lineRule="auto"/>
              <w:rPr>
                <w:rFonts w:ascii="Times New Roman" w:eastAsia="Calibri" w:hAnsi="Times New Roman" w:cs="Times New Roman"/>
                <w:sz w:val="24"/>
                <w:szCs w:val="24"/>
                <w:lang w:eastAsia="ar-SA"/>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9F787F" w:rsidRPr="00F243F5" w:rsidRDefault="009F787F" w:rsidP="009F787F">
            <w:pPr>
              <w:tabs>
                <w:tab w:val="left" w:pos="3828"/>
              </w:tabs>
              <w:suppressAutoHyphens/>
              <w:spacing w:after="0" w:line="240" w:lineRule="auto"/>
              <w:ind w:left="34" w:hanging="34"/>
              <w:rPr>
                <w:rFonts w:ascii="Times New Roman" w:eastAsia="Calibri" w:hAnsi="Times New Roman" w:cs="Times New Roman"/>
                <w:sz w:val="24"/>
                <w:szCs w:val="24"/>
                <w:lang w:eastAsia="ar-SA"/>
              </w:rPr>
            </w:pPr>
            <w:r w:rsidRPr="00F243F5">
              <w:rPr>
                <w:rFonts w:ascii="Times New Roman" w:eastAsia="Times New Roman" w:hAnsi="Times New Roman" w:cs="Times New Roman"/>
                <w:sz w:val="24"/>
                <w:szCs w:val="24"/>
                <w:lang w:eastAsia="ar-SA"/>
              </w:rPr>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0,39</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9F787F" w:rsidRPr="00F243F5" w:rsidRDefault="009F787F" w:rsidP="009F787F">
            <w:pPr>
              <w:tabs>
                <w:tab w:val="left" w:pos="3828"/>
              </w:tabs>
              <w:suppressAutoHyphens/>
              <w:autoSpaceDE w:val="0"/>
              <w:autoSpaceDN w:val="0"/>
              <w:spacing w:after="0" w:line="240" w:lineRule="auto"/>
              <w:jc w:val="both"/>
              <w:rPr>
                <w:rFonts w:ascii="Times New Roman" w:eastAsia="Calibri" w:hAnsi="Times New Roman" w:cs="Times New Roman"/>
                <w:sz w:val="24"/>
                <w:szCs w:val="24"/>
                <w:lang w:eastAsia="ar-SA"/>
              </w:rPr>
            </w:pPr>
            <w:r w:rsidRPr="00F243F5">
              <w:rPr>
                <w:rFonts w:ascii="Times New Roman" w:eastAsia="Calibri" w:hAnsi="Times New Roman" w:cs="Times New Roman"/>
                <w:sz w:val="24"/>
                <w:szCs w:val="24"/>
                <w:lang w:eastAsia="ar-SA"/>
              </w:rPr>
              <w:t>0,50</w:t>
            </w:r>
          </w:p>
        </w:tc>
      </w:tr>
    </w:tbl>
    <w:p w:rsidR="009F787F" w:rsidRPr="00F243F5" w:rsidRDefault="009F787F" w:rsidP="009F787F">
      <w:pPr>
        <w:shd w:val="clear" w:color="auto" w:fill="FFFFFF"/>
        <w:tabs>
          <w:tab w:val="left" w:pos="3828"/>
        </w:tabs>
        <w:suppressAutoHyphens/>
        <w:spacing w:after="0" w:line="240" w:lineRule="auto"/>
        <w:jc w:val="both"/>
        <w:rPr>
          <w:rFonts w:ascii="Times New Roman" w:eastAsia="Times New Roman" w:hAnsi="Times New Roman" w:cs="Times New Roman"/>
          <w:sz w:val="28"/>
          <w:szCs w:val="28"/>
          <w:lang w:eastAsia="ar-SA"/>
        </w:rPr>
      </w:pPr>
    </w:p>
    <w:bookmarkEnd w:id="1"/>
    <w:p w:rsidR="00F50F1B" w:rsidRPr="00F243F5" w:rsidRDefault="00F50F1B" w:rsidP="005F13EB">
      <w:pPr>
        <w:tabs>
          <w:tab w:val="left" w:pos="3828"/>
        </w:tabs>
        <w:suppressAutoHyphens/>
        <w:spacing w:after="0" w:line="240" w:lineRule="auto"/>
        <w:ind w:firstLine="708"/>
        <w:jc w:val="both"/>
        <w:rPr>
          <w:rFonts w:ascii="Times New Roman" w:eastAsia="Times New Roman" w:hAnsi="Times New Roman" w:cs="Times New Roman"/>
          <w:sz w:val="28"/>
          <w:szCs w:val="28"/>
          <w:lang w:eastAsia="ru-RU"/>
        </w:rPr>
      </w:pPr>
    </w:p>
    <w:p w:rsidR="005F13EB" w:rsidRPr="00F243F5" w:rsidRDefault="00EF7003" w:rsidP="00F243F5">
      <w:pPr>
        <w:tabs>
          <w:tab w:val="left" w:pos="3828"/>
        </w:tabs>
        <w:suppressAutoHyphens/>
        <w:spacing w:after="0" w:line="240" w:lineRule="auto"/>
        <w:ind w:firstLine="709"/>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1.8. Раздел 4:</w:t>
      </w:r>
    </w:p>
    <w:p w:rsidR="00EF7003" w:rsidRPr="00F243F5" w:rsidRDefault="00146FC0" w:rsidP="00F243F5">
      <w:pPr>
        <w:tabs>
          <w:tab w:val="left" w:pos="3828"/>
        </w:tabs>
        <w:suppressAutoHyphens/>
        <w:spacing w:after="0" w:line="240" w:lineRule="auto"/>
        <w:ind w:firstLine="709"/>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строка «Создание благоприятной среды для содержания поголовья КРС»:</w:t>
      </w:r>
    </w:p>
    <w:p w:rsidR="00146FC0" w:rsidRPr="00F243F5" w:rsidRDefault="00146FC0" w:rsidP="00F243F5">
      <w:pPr>
        <w:tabs>
          <w:tab w:val="left" w:pos="3828"/>
        </w:tabs>
        <w:suppressAutoHyphens/>
        <w:spacing w:after="0" w:line="240" w:lineRule="auto"/>
        <w:ind w:firstLine="709"/>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слова «…1500 голов…» заменить словами  «…2000 голов…»;</w:t>
      </w:r>
    </w:p>
    <w:p w:rsidR="00146FC0" w:rsidRPr="00F243F5" w:rsidRDefault="00146FC0" w:rsidP="00F243F5">
      <w:pPr>
        <w:tabs>
          <w:tab w:val="left" w:pos="3828"/>
        </w:tabs>
        <w:suppressAutoHyphens/>
        <w:spacing w:after="0" w:line="240" w:lineRule="auto"/>
        <w:ind w:firstLine="709"/>
        <w:jc w:val="both"/>
        <w:rPr>
          <w:rFonts w:ascii="Times New Roman" w:eastAsia="Times New Roman" w:hAnsi="Times New Roman" w:cs="Times New Roman"/>
          <w:sz w:val="28"/>
          <w:szCs w:val="28"/>
          <w:lang w:eastAsia="ru-RU"/>
        </w:rPr>
      </w:pPr>
    </w:p>
    <w:p w:rsidR="00146FC0" w:rsidRPr="00F243F5" w:rsidRDefault="00DD42AA" w:rsidP="00F243F5">
      <w:pPr>
        <w:tabs>
          <w:tab w:val="left" w:pos="3828"/>
        </w:tabs>
        <w:suppressAutoHyphens/>
        <w:spacing w:after="0" w:line="240" w:lineRule="auto"/>
        <w:ind w:firstLine="709"/>
        <w:jc w:val="both"/>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1.9. Пункт 2.2.7.1. изменить и изложить в следующей редакции:</w:t>
      </w:r>
    </w:p>
    <w:p w:rsidR="00DD42AA" w:rsidRPr="00F243F5" w:rsidRDefault="00DD42AA" w:rsidP="00EF7003">
      <w:pPr>
        <w:tabs>
          <w:tab w:val="left" w:pos="3828"/>
        </w:tabs>
        <w:suppressAutoHyphens/>
        <w:spacing w:after="0" w:line="240" w:lineRule="auto"/>
        <w:jc w:val="both"/>
        <w:rPr>
          <w:rFonts w:ascii="Times New Roman" w:eastAsia="Times New Roman" w:hAnsi="Times New Roman" w:cs="Times New Roman"/>
          <w:sz w:val="28"/>
          <w:szCs w:val="28"/>
          <w:lang w:eastAsia="ru-RU"/>
        </w:rPr>
      </w:pPr>
    </w:p>
    <w:p w:rsidR="00DD42AA" w:rsidRPr="00F243F5" w:rsidRDefault="00DD42AA" w:rsidP="00DD42AA">
      <w:pPr>
        <w:tabs>
          <w:tab w:val="left" w:pos="3828"/>
        </w:tabs>
        <w:suppressAutoHyphens/>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2.2.7.1. Потенциал сферы здравоохранения</w:t>
      </w:r>
    </w:p>
    <w:p w:rsidR="00DD42AA" w:rsidRPr="00F243F5" w:rsidRDefault="00DD42AA" w:rsidP="00DD42AA">
      <w:pPr>
        <w:tabs>
          <w:tab w:val="left" w:pos="3828"/>
        </w:tabs>
        <w:suppressAutoHyphens/>
        <w:spacing w:after="0" w:line="100" w:lineRule="atLeast"/>
        <w:jc w:val="center"/>
        <w:rPr>
          <w:rFonts w:ascii="Times New Roman" w:eastAsia="Times New Roman" w:hAnsi="Times New Roman" w:cs="Times New Roman"/>
          <w:b/>
          <w:sz w:val="28"/>
          <w:szCs w:val="28"/>
          <w:lang w:eastAsia="ar-SA"/>
        </w:rPr>
      </w:pPr>
    </w:p>
    <w:p w:rsidR="00DD42AA" w:rsidRPr="00F243F5" w:rsidRDefault="00DD42AA" w:rsidP="00DD42AA">
      <w:pPr>
        <w:tabs>
          <w:tab w:val="left" w:pos="3828"/>
        </w:tabs>
        <w:suppressAutoHyphens/>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Буинский муниципальный район – район с высоким уровнем системы здравоохранения.</w:t>
      </w:r>
    </w:p>
    <w:p w:rsidR="00DD42AA" w:rsidRPr="00F243F5" w:rsidRDefault="00DD42AA" w:rsidP="00DD42AA">
      <w:pPr>
        <w:suppressAutoHyphens/>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Показатели здоровья населения в значительной степени зависят от уровня и качества медицинского обслуживания, что можно оценить по данным затрат на </w:t>
      </w:r>
      <w:r w:rsidRPr="00F243F5">
        <w:rPr>
          <w:rFonts w:ascii="Times New Roman" w:eastAsia="Times New Roman" w:hAnsi="Times New Roman" w:cs="Times New Roman"/>
          <w:sz w:val="28"/>
          <w:szCs w:val="28"/>
          <w:lang w:eastAsia="ar-SA"/>
        </w:rPr>
        <w:lastRenderedPageBreak/>
        <w:t>здравоохранение, обеспеченности врачами и средними медицинскими работниками, койками, их занятостью.</w:t>
      </w:r>
      <w:r w:rsidR="00F243F5">
        <w:rPr>
          <w:rFonts w:ascii="Times New Roman" w:eastAsia="Times New Roman" w:hAnsi="Times New Roman" w:cs="Times New Roman"/>
          <w:sz w:val="28"/>
          <w:szCs w:val="28"/>
          <w:lang w:eastAsia="ar-SA"/>
        </w:rPr>
        <w:t xml:space="preserve"> </w:t>
      </w:r>
      <w:r w:rsidRPr="00F243F5">
        <w:rPr>
          <w:rFonts w:ascii="Times New Roman" w:eastAsia="Times New Roman" w:hAnsi="Times New Roman" w:cs="Times New Roman"/>
          <w:sz w:val="28"/>
          <w:szCs w:val="28"/>
          <w:lang w:eastAsia="ar-SA"/>
        </w:rPr>
        <w:t>(таблица №8).</w:t>
      </w:r>
    </w:p>
    <w:p w:rsidR="00DD42AA" w:rsidRPr="00F243F5" w:rsidRDefault="00DD42AA" w:rsidP="00DD42AA">
      <w:pPr>
        <w:suppressAutoHyphens/>
        <w:spacing w:after="0" w:line="100" w:lineRule="atLeast"/>
        <w:ind w:firstLine="709"/>
        <w:jc w:val="right"/>
        <w:rPr>
          <w:rFonts w:ascii="Times New Roman" w:eastAsia="Times New Roman" w:hAnsi="Times New Roman" w:cs="Times New Roman"/>
          <w:sz w:val="28"/>
          <w:szCs w:val="28"/>
          <w:lang w:eastAsia="ar-SA"/>
        </w:rPr>
      </w:pPr>
      <w:r w:rsidRPr="00F243F5">
        <w:rPr>
          <w:rFonts w:ascii="Times New Roman" w:eastAsia="Times New Roman" w:hAnsi="Times New Roman" w:cs="Times New Roman"/>
          <w:i/>
          <w:sz w:val="28"/>
          <w:szCs w:val="28"/>
          <w:lang w:eastAsia="ar-SA"/>
        </w:rPr>
        <w:t>Таблица №8</w:t>
      </w:r>
    </w:p>
    <w:p w:rsidR="00DD42AA" w:rsidRPr="00F243F5" w:rsidRDefault="00DD42AA" w:rsidP="00DD42AA">
      <w:pPr>
        <w:tabs>
          <w:tab w:val="left" w:pos="3828"/>
        </w:tabs>
        <w:suppressAutoHyphens/>
        <w:spacing w:after="0" w:line="240" w:lineRule="auto"/>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Сведения о сети медицинских учреждений и медицинских кадрах</w:t>
      </w:r>
    </w:p>
    <w:p w:rsidR="00DD42AA" w:rsidRPr="00F243F5" w:rsidRDefault="00DD42AA" w:rsidP="00DD42AA">
      <w:pPr>
        <w:tabs>
          <w:tab w:val="left" w:pos="3828"/>
        </w:tabs>
        <w:suppressAutoHyphens/>
        <w:spacing w:after="0" w:line="240" w:lineRule="auto"/>
        <w:jc w:val="center"/>
        <w:rPr>
          <w:rFonts w:ascii="Times New Roman" w:eastAsia="Times New Roman" w:hAnsi="Times New Roman" w:cs="Times New Roman"/>
          <w:b/>
          <w:sz w:val="28"/>
          <w:szCs w:val="28"/>
          <w:lang w:eastAsia="ar-SA"/>
        </w:rPr>
      </w:pPr>
    </w:p>
    <w:tbl>
      <w:tblPr>
        <w:tblW w:w="8818" w:type="dxa"/>
        <w:tblInd w:w="108" w:type="dxa"/>
        <w:tblLayout w:type="fixed"/>
        <w:tblLook w:val="0000" w:firstRow="0" w:lastRow="0" w:firstColumn="0" w:lastColumn="0" w:noHBand="0" w:noVBand="0"/>
      </w:tblPr>
      <w:tblGrid>
        <w:gridCol w:w="360"/>
        <w:gridCol w:w="3922"/>
        <w:gridCol w:w="992"/>
        <w:gridCol w:w="992"/>
        <w:gridCol w:w="851"/>
        <w:gridCol w:w="850"/>
        <w:gridCol w:w="851"/>
      </w:tblGrid>
      <w:tr w:rsidR="00DD42AA" w:rsidRPr="00F243F5" w:rsidTr="00DD42AA">
        <w:tc>
          <w:tcPr>
            <w:tcW w:w="360" w:type="dxa"/>
            <w:tcBorders>
              <w:top w:val="single" w:sz="4" w:space="0" w:color="000000"/>
              <w:left w:val="single" w:sz="4" w:space="0" w:color="000000"/>
              <w:bottom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w:t>
            </w:r>
          </w:p>
        </w:tc>
        <w:tc>
          <w:tcPr>
            <w:tcW w:w="3922" w:type="dxa"/>
            <w:tcBorders>
              <w:top w:val="single" w:sz="4" w:space="0" w:color="000000"/>
              <w:left w:val="single" w:sz="4" w:space="0" w:color="000000"/>
              <w:bottom w:val="single" w:sz="4" w:space="0" w:color="000000"/>
              <w:right w:val="single" w:sz="4" w:space="0" w:color="auto"/>
            </w:tcBorders>
            <w:shd w:val="clear" w:color="auto" w:fill="auto"/>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Показатели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2014</w:t>
            </w:r>
          </w:p>
        </w:tc>
        <w:tc>
          <w:tcPr>
            <w:tcW w:w="992"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2015</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2016</w:t>
            </w: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2017</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2018</w:t>
            </w:r>
          </w:p>
        </w:tc>
      </w:tr>
      <w:tr w:rsidR="00DD42AA" w:rsidRPr="00F243F5" w:rsidTr="00DD42AA">
        <w:tc>
          <w:tcPr>
            <w:tcW w:w="360" w:type="dxa"/>
            <w:tcBorders>
              <w:top w:val="single" w:sz="4" w:space="0" w:color="000000"/>
              <w:left w:val="single" w:sz="4" w:space="0" w:color="000000"/>
              <w:bottom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w:t>
            </w:r>
          </w:p>
        </w:tc>
        <w:tc>
          <w:tcPr>
            <w:tcW w:w="3922" w:type="dxa"/>
            <w:tcBorders>
              <w:top w:val="single" w:sz="4" w:space="0" w:color="000000"/>
              <w:left w:val="single" w:sz="4" w:space="0" w:color="000000"/>
              <w:bottom w:val="single" w:sz="4" w:space="0" w:color="000000"/>
              <w:right w:val="single" w:sz="4" w:space="0" w:color="auto"/>
            </w:tcBorders>
            <w:shd w:val="clear" w:color="auto" w:fill="auto"/>
          </w:tcPr>
          <w:p w:rsidR="00DD42AA" w:rsidRPr="00F243F5" w:rsidRDefault="00DD42AA" w:rsidP="00DD42AA">
            <w:pPr>
              <w:tabs>
                <w:tab w:val="left" w:pos="3828"/>
              </w:tabs>
              <w:suppressAutoHyphens/>
              <w:snapToGrid w:val="0"/>
              <w:spacing w:after="0" w:line="100" w:lineRule="atLeas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Численность работников, занятых в муниципальных учреждениях здравоохранения, 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640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637</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572</w:t>
            </w: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564</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639</w:t>
            </w:r>
          </w:p>
        </w:tc>
      </w:tr>
      <w:tr w:rsidR="00DD42AA" w:rsidRPr="00F243F5" w:rsidTr="00DD42AA">
        <w:tc>
          <w:tcPr>
            <w:tcW w:w="360" w:type="dxa"/>
            <w:tcBorders>
              <w:top w:val="single" w:sz="4" w:space="0" w:color="000000"/>
              <w:left w:val="single" w:sz="4" w:space="0" w:color="000000"/>
              <w:bottom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w:t>
            </w:r>
          </w:p>
        </w:tc>
        <w:tc>
          <w:tcPr>
            <w:tcW w:w="3922" w:type="dxa"/>
            <w:tcBorders>
              <w:top w:val="single" w:sz="4" w:space="0" w:color="000000"/>
              <w:left w:val="single" w:sz="4" w:space="0" w:color="000000"/>
              <w:bottom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Численность врачей всех специальностей, 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81</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82</w:t>
            </w: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83</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85</w:t>
            </w:r>
          </w:p>
        </w:tc>
      </w:tr>
      <w:tr w:rsidR="00DD42AA" w:rsidRPr="00F243F5" w:rsidTr="00DD42AA">
        <w:tc>
          <w:tcPr>
            <w:tcW w:w="360" w:type="dxa"/>
            <w:tcBorders>
              <w:top w:val="single" w:sz="4" w:space="0" w:color="000000"/>
              <w:left w:val="single" w:sz="4" w:space="0" w:color="000000"/>
              <w:bottom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p>
        </w:tc>
        <w:tc>
          <w:tcPr>
            <w:tcW w:w="3922" w:type="dxa"/>
            <w:tcBorders>
              <w:top w:val="single" w:sz="4" w:space="0" w:color="000000"/>
              <w:left w:val="single" w:sz="4" w:space="0" w:color="000000"/>
              <w:bottom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на 10000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18,1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18,29</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18,2</w:t>
            </w: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19,3</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19,7</w:t>
            </w:r>
          </w:p>
        </w:tc>
      </w:tr>
      <w:tr w:rsidR="00DD42AA" w:rsidRPr="00F243F5" w:rsidTr="00DD42AA">
        <w:tc>
          <w:tcPr>
            <w:tcW w:w="360" w:type="dxa"/>
            <w:tcBorders>
              <w:top w:val="single" w:sz="4" w:space="0" w:color="000000"/>
              <w:left w:val="single" w:sz="4" w:space="0" w:color="000000"/>
              <w:bottom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w:t>
            </w:r>
          </w:p>
        </w:tc>
        <w:tc>
          <w:tcPr>
            <w:tcW w:w="3922" w:type="dxa"/>
            <w:tcBorders>
              <w:top w:val="single" w:sz="4" w:space="0" w:color="000000"/>
              <w:left w:val="single" w:sz="4" w:space="0" w:color="000000"/>
              <w:bottom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Численность среднего медицинского персонала, 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343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361</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363</w:t>
            </w: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368</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357</w:t>
            </w:r>
          </w:p>
        </w:tc>
      </w:tr>
      <w:tr w:rsidR="00DD42AA" w:rsidRPr="00F243F5" w:rsidTr="00DD42AA">
        <w:tc>
          <w:tcPr>
            <w:tcW w:w="360" w:type="dxa"/>
            <w:tcBorders>
              <w:top w:val="single" w:sz="4" w:space="0" w:color="000000"/>
              <w:left w:val="single" w:sz="4" w:space="0" w:color="000000"/>
              <w:bottom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p>
        </w:tc>
        <w:tc>
          <w:tcPr>
            <w:tcW w:w="3922" w:type="dxa"/>
            <w:tcBorders>
              <w:top w:val="single" w:sz="4" w:space="0" w:color="000000"/>
              <w:left w:val="single" w:sz="4" w:space="0" w:color="000000"/>
              <w:bottom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на 10000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81,55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81,55</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83,4</w:t>
            </w: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85,4</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82,9</w:t>
            </w:r>
          </w:p>
        </w:tc>
      </w:tr>
      <w:tr w:rsidR="00DD42AA" w:rsidRPr="00F243F5" w:rsidTr="00DD42AA">
        <w:tc>
          <w:tcPr>
            <w:tcW w:w="360" w:type="dxa"/>
            <w:tcBorders>
              <w:top w:val="single" w:sz="4" w:space="0" w:color="000000"/>
              <w:left w:val="single" w:sz="4" w:space="0" w:color="000000"/>
              <w:bottom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w:t>
            </w:r>
          </w:p>
        </w:tc>
        <w:tc>
          <w:tcPr>
            <w:tcW w:w="3922" w:type="dxa"/>
            <w:tcBorders>
              <w:top w:val="single" w:sz="4" w:space="0" w:color="000000"/>
              <w:left w:val="single" w:sz="4" w:space="0" w:color="000000"/>
              <w:bottom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Число больничных коек, 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218</w:t>
            </w:r>
          </w:p>
        </w:tc>
        <w:tc>
          <w:tcPr>
            <w:tcW w:w="992"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208</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208</w:t>
            </w: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191</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191</w:t>
            </w:r>
          </w:p>
        </w:tc>
      </w:tr>
      <w:tr w:rsidR="00DD42AA" w:rsidRPr="00F243F5" w:rsidTr="00DD42AA">
        <w:tc>
          <w:tcPr>
            <w:tcW w:w="360" w:type="dxa"/>
            <w:tcBorders>
              <w:top w:val="single" w:sz="4" w:space="0" w:color="000000"/>
              <w:left w:val="single" w:sz="4" w:space="0" w:color="000000"/>
              <w:bottom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p>
        </w:tc>
        <w:tc>
          <w:tcPr>
            <w:tcW w:w="3922" w:type="dxa"/>
            <w:tcBorders>
              <w:top w:val="single" w:sz="4" w:space="0" w:color="000000"/>
              <w:left w:val="single" w:sz="4" w:space="0" w:color="000000"/>
              <w:bottom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на 10000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48,8</w:t>
            </w:r>
          </w:p>
        </w:tc>
        <w:tc>
          <w:tcPr>
            <w:tcW w:w="992"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46,64</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47,8</w:t>
            </w: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44,3</w:t>
            </w: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44,3</w:t>
            </w:r>
          </w:p>
        </w:tc>
      </w:tr>
      <w:tr w:rsidR="00DD42AA" w:rsidRPr="00F243F5" w:rsidTr="00DD42AA">
        <w:tc>
          <w:tcPr>
            <w:tcW w:w="360" w:type="dxa"/>
            <w:tcBorders>
              <w:top w:val="single" w:sz="4" w:space="0" w:color="000000"/>
              <w:left w:val="single" w:sz="4" w:space="0" w:color="000000"/>
              <w:bottom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5</w:t>
            </w:r>
          </w:p>
        </w:tc>
        <w:tc>
          <w:tcPr>
            <w:tcW w:w="3922" w:type="dxa"/>
            <w:tcBorders>
              <w:top w:val="single" w:sz="4" w:space="0" w:color="000000"/>
              <w:left w:val="single" w:sz="4" w:space="0" w:color="000000"/>
              <w:bottom w:val="single" w:sz="4" w:space="0" w:color="000000"/>
            </w:tcBorders>
            <w:shd w:val="clear" w:color="auto" w:fill="auto"/>
          </w:tcPr>
          <w:p w:rsidR="00DD42AA" w:rsidRPr="00F243F5" w:rsidRDefault="00DD42AA" w:rsidP="00DD42AA">
            <w:pPr>
              <w:tabs>
                <w:tab w:val="left" w:pos="3828"/>
              </w:tabs>
              <w:suppressAutoHyphens/>
              <w:snapToGrid w:val="0"/>
              <w:spacing w:after="0" w:line="100" w:lineRule="atLeast"/>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Инвестиции в основной капитал учреждений здравоохранения, млн.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p>
        </w:tc>
        <w:tc>
          <w:tcPr>
            <w:tcW w:w="992"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p>
        </w:tc>
        <w:tc>
          <w:tcPr>
            <w:tcW w:w="850"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DD42AA" w:rsidRPr="00F243F5" w:rsidRDefault="00DD42AA" w:rsidP="00DD42AA">
            <w:pPr>
              <w:tabs>
                <w:tab w:val="left" w:pos="3828"/>
              </w:tabs>
              <w:suppressAutoHyphens/>
              <w:snapToGrid w:val="0"/>
              <w:spacing w:after="0" w:line="100" w:lineRule="atLeast"/>
              <w:jc w:val="center"/>
              <w:rPr>
                <w:rFonts w:ascii="Times New Roman" w:eastAsia="Times New Roman" w:hAnsi="Times New Roman" w:cs="Times New Roman"/>
                <w:sz w:val="28"/>
                <w:szCs w:val="28"/>
                <w:lang w:eastAsia="ar-SA"/>
              </w:rPr>
            </w:pPr>
          </w:p>
        </w:tc>
      </w:tr>
    </w:tbl>
    <w:p w:rsidR="00DD42AA" w:rsidRPr="00F243F5" w:rsidRDefault="00DD42AA" w:rsidP="00DD42AA">
      <w:pPr>
        <w:tabs>
          <w:tab w:val="left" w:pos="3828"/>
        </w:tabs>
        <w:suppressAutoHyphens/>
        <w:spacing w:after="0" w:line="100" w:lineRule="atLeast"/>
        <w:ind w:firstLine="709"/>
        <w:jc w:val="both"/>
        <w:rPr>
          <w:rFonts w:ascii="Times New Roman" w:eastAsia="Times New Roman" w:hAnsi="Times New Roman" w:cs="Times New Roman"/>
          <w:sz w:val="28"/>
          <w:szCs w:val="28"/>
          <w:lang w:eastAsia="ar-SA"/>
        </w:rPr>
      </w:pPr>
    </w:p>
    <w:p w:rsidR="00DD42AA" w:rsidRPr="00F243F5" w:rsidRDefault="00DD42AA" w:rsidP="00DD42AA">
      <w:pPr>
        <w:tabs>
          <w:tab w:val="left" w:pos="3828"/>
        </w:tabs>
        <w:suppressAutoHyphens/>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Потенциал развития системы здравоохранения позволяет обеспечить доступность медицинской помощи каждому жителю района вне зависимости от социального положения, уровня доходов и места проживания. Так, за последние 5 лет коэффициент рождаемости уменьшился с 11,6 до 10,6. Общая смертность населения сократилась с 17,1 до 15,4, в том числе среди трудоспособного населения – с 281,3 до 168,8.  Смертность от болезней системы кровообращения снизилась с 653,3 до 422,7, от новообразований – 158,3 до 50,5, от неестественных причин – с 132,5 до 59,1. </w:t>
      </w:r>
    </w:p>
    <w:p w:rsidR="00DD42AA" w:rsidRPr="00F243F5" w:rsidRDefault="00DD42AA" w:rsidP="00DD42AA">
      <w:pPr>
        <w:tabs>
          <w:tab w:val="left" w:pos="3828"/>
        </w:tabs>
        <w:suppressAutoHyphens/>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Ожидаемая продолжительность жизни уве</w:t>
      </w:r>
      <w:r w:rsidR="00F243F5">
        <w:rPr>
          <w:rFonts w:ascii="Times New Roman" w:eastAsia="Times New Roman" w:hAnsi="Times New Roman" w:cs="Times New Roman"/>
          <w:sz w:val="28"/>
          <w:szCs w:val="28"/>
          <w:lang w:eastAsia="ar-SA"/>
        </w:rPr>
        <w:t xml:space="preserve">личилась с 68,3 от 2010 года и </w:t>
      </w:r>
      <w:r w:rsidRPr="00F243F5">
        <w:rPr>
          <w:rFonts w:ascii="Times New Roman" w:eastAsia="Times New Roman" w:hAnsi="Times New Roman" w:cs="Times New Roman"/>
          <w:sz w:val="28"/>
          <w:szCs w:val="28"/>
          <w:lang w:eastAsia="ar-SA"/>
        </w:rPr>
        <w:t>составила 72,8 на 2014 год.</w:t>
      </w:r>
    </w:p>
    <w:p w:rsidR="00DD42AA" w:rsidRPr="00F243F5" w:rsidRDefault="00DD42AA" w:rsidP="00DD42AA">
      <w:pPr>
        <w:tabs>
          <w:tab w:val="left" w:pos="3828"/>
        </w:tabs>
        <w:suppressAutoHyphens/>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Скорую медицинскую помощь оказывают 2 бригады (фельдшерские). Число больничных коек на 2015 год – 208, обеспеченность населения круглосуточными койками составила 46,6 на 10 тысяч населения.</w:t>
      </w:r>
    </w:p>
    <w:p w:rsidR="00DD42AA" w:rsidRPr="00F243F5" w:rsidRDefault="00DD42AA" w:rsidP="00DD42AA">
      <w:pPr>
        <w:tabs>
          <w:tab w:val="left" w:pos="3828"/>
        </w:tabs>
        <w:suppressAutoHyphens/>
        <w:overflowPunct w:val="0"/>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Тем не менее, уровень заболеваемости населения остается высоким. Отмечается высокий уровень болезней системы кровообращения, злокачественных новообразований, ВИЧ-инфицированных. Показатели социально-значимыми заболеваниями – туберкулезом, хроническим алкоголизмом, наркоманией – более низкие, чем в среднем по Республики Татарстан. </w:t>
      </w:r>
    </w:p>
    <w:p w:rsidR="00DD42AA" w:rsidRPr="00F243F5" w:rsidRDefault="00DD42AA" w:rsidP="00DD42AA">
      <w:pPr>
        <w:tabs>
          <w:tab w:val="left" w:pos="3828"/>
        </w:tabs>
        <w:suppressAutoHyphens/>
        <w:overflowPunct w:val="0"/>
        <w:spacing w:after="0" w:line="100" w:lineRule="atLeast"/>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Несмотря на тенденцию снижения показателя естественной убыли, в районе до настоящего времени не удалось изменить ситуацию в сторону превышения рождаемости над смертностью.</w:t>
      </w:r>
    </w:p>
    <w:p w:rsidR="00025EC6" w:rsidRPr="00F243F5" w:rsidRDefault="00F243F5" w:rsidP="00F243F5">
      <w:pPr>
        <w:suppressAutoHyphens/>
        <w:overflowPunct w:val="0"/>
        <w:spacing w:after="0" w:line="100" w:lineRule="atLeast"/>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ab/>
      </w:r>
      <w:r w:rsidR="00025EC6" w:rsidRPr="00F243F5">
        <w:rPr>
          <w:rFonts w:ascii="Times New Roman" w:eastAsia="Times New Roman" w:hAnsi="Times New Roman" w:cs="Times New Roman"/>
          <w:sz w:val="28"/>
          <w:szCs w:val="28"/>
          <w:lang w:eastAsia="ar-SA"/>
        </w:rPr>
        <w:t>1.</w:t>
      </w:r>
      <w:r w:rsidR="00DD025B" w:rsidRPr="00F243F5">
        <w:rPr>
          <w:rFonts w:ascii="Times New Roman" w:eastAsia="Times New Roman" w:hAnsi="Times New Roman" w:cs="Times New Roman"/>
          <w:sz w:val="28"/>
          <w:szCs w:val="28"/>
          <w:lang w:eastAsia="ar-SA"/>
        </w:rPr>
        <w:t>10</w:t>
      </w:r>
      <w:r w:rsidR="00025EC6" w:rsidRPr="00F243F5">
        <w:rPr>
          <w:rFonts w:ascii="Times New Roman" w:eastAsia="Times New Roman" w:hAnsi="Times New Roman" w:cs="Times New Roman"/>
          <w:sz w:val="28"/>
          <w:szCs w:val="28"/>
          <w:lang w:eastAsia="ar-SA"/>
        </w:rPr>
        <w:t>. Пункт 3.2.1.2 изменить и изложить в следующей редакции:</w:t>
      </w:r>
    </w:p>
    <w:p w:rsidR="00025EC6" w:rsidRPr="00F243F5" w:rsidRDefault="00025EC6" w:rsidP="00025EC6">
      <w:pPr>
        <w:tabs>
          <w:tab w:val="left" w:pos="3828"/>
        </w:tabs>
        <w:suppressAutoHyphens/>
        <w:overflowPunct w:val="0"/>
        <w:spacing w:after="0" w:line="100" w:lineRule="atLeast"/>
        <w:jc w:val="both"/>
        <w:rPr>
          <w:rFonts w:ascii="Times New Roman" w:eastAsia="Times New Roman" w:hAnsi="Times New Roman" w:cs="Times New Roman"/>
          <w:sz w:val="28"/>
          <w:szCs w:val="28"/>
          <w:lang w:eastAsia="ar-SA"/>
        </w:rPr>
      </w:pPr>
    </w:p>
    <w:p w:rsidR="00025EC6" w:rsidRPr="00F243F5" w:rsidRDefault="00025EC6" w:rsidP="00025EC6">
      <w:pPr>
        <w:tabs>
          <w:tab w:val="left" w:pos="3828"/>
        </w:tabs>
        <w:suppressAutoHyphens/>
        <w:spacing w:after="0" w:line="100" w:lineRule="atLeast"/>
        <w:jc w:val="center"/>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3.2.1.2. Здравоохранение</w:t>
      </w:r>
    </w:p>
    <w:p w:rsidR="00025EC6" w:rsidRPr="00F243F5" w:rsidRDefault="00025EC6" w:rsidP="00025EC6">
      <w:pPr>
        <w:tabs>
          <w:tab w:val="left" w:pos="3828"/>
        </w:tabs>
        <w:suppressAutoHyphens/>
        <w:spacing w:after="0" w:line="100" w:lineRule="atLeast"/>
        <w:jc w:val="center"/>
        <w:rPr>
          <w:rFonts w:ascii="Times New Roman" w:eastAsia="Times New Roman" w:hAnsi="Times New Roman" w:cs="Times New Roman"/>
          <w:b/>
          <w:sz w:val="28"/>
          <w:szCs w:val="28"/>
          <w:lang w:eastAsia="ar-SA"/>
        </w:rPr>
      </w:pP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Целевой сценарий Стратегии предъявляет новые требования к системе здравоохранения.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Необходимость инновационного развития здравоохранения обусловлена двумя факторами. С одной стороны, имеет место негативная демографическая тенденция, которая предполагает дальнейшее уменьшение числа жителей, численности трудоспособного населения при увеличении доли детей и лиц пожилого возраста, снижение численности женщин репродуктивного возраста (15-49 лет) и, как следствие, рождаемости. С другой стороны, объективно развиваются новые медицинские и социальные технологии, позволяющие оказывать реальное влияние на показатели здоровья населения.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В этих условиях необходима реализация мер долгосрочного характера, направленных на существенное снижение предотвратимых потерь здоровья, масштабов смертности (особенно мужской) в трудоспособном возрасте, что обеспечит наиболее эффективный путь роста продолжительности жизни населения, его трудового и репродуктивного потенциала, укрепление здоровья населения. </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Основной целью стратегии на период до 2030 года должно стать создание системы здравоохранения преимущественно профилактической направленности, обеспечивающей равную доступность и качество квалифицированных услуг, соответствующих стандартам оказания медицинской помощи, для всех категорий граждан.</w:t>
      </w:r>
    </w:p>
    <w:p w:rsidR="00025EC6" w:rsidRPr="00F243F5" w:rsidRDefault="00025EC6" w:rsidP="00025EC6">
      <w:pPr>
        <w:shd w:val="clear" w:color="auto" w:fill="FFFFFF"/>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Для дальнейшего развития отрасли необходимо создать новую систему здравоохранения, повысив ее технологический, организационный и профессиональный уровни. Необходимо внедрение новейших инновационных разработок диагностики, лечения и профилактики заболеваний, в  системе подготовки и переподготовки медицинских кадров, а также применение современных высокотехнологичных информационных систем. Для этого требуется заметное повышение значимости здравоохранения в системе бюджетных приоритетов.</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Реализация основной стратегической цели предполагает решение следующих приоритетных задач.</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Увеличение роли профилактики заболеваний и формирования здорового образа жизни посредством:</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оказания медицинской помощи на основе периодических диспансеризаций и постоянного наблюдения за группами риска, санаторно-курортного лечения;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реализации программ интегрированной профилактики неинфекционных болезней (кровообращения, онкологических, эндокринной, органов дыхания, болезней глаз, нервной и костно-мышечной систем);</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исполнения национального плана вакцинопрофилактики, комплекса мер по уменьшению распространенности, смертности и отрицательных последствий для здоровья, связанных с инфекционными заболеваниями, в том числе с ВИЧ-инфекцией и СПИДом, туберкулезом;</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lastRenderedPageBreak/>
        <w:t>формирования эффективной системы профилактики алкогольной и наркотической зависимости;</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обучения населения здоровому образу жизни с помощью информационных программ, рассчитанных на различные возрастные и социальные группы населения, формирования ответственности у граждан за свое здоровье и здоровье окружающих;</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развития сети специализированных учреждений по вопросам формирования здорового образа жизни, включая подготовку соответствующих специалистов;</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систематической подготовки врачей первичного звена по вопросам профилактики и диагностики депрессивных состояний, обучение населения рациональному поведению в стрессовых ситуациях.</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Повышение доступности современных медицинских технологий за счет:</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повышения профессионального уровня медицинских работников с акцентом на их постоянное переобучение и освоение передовых отечественных и зарубежных технологий;</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обеспечения соответствия практической медицины требованиям клинических руководств и медицинских стандартов;</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расширения инновационной деятельности для освоения новых медицинских технологий;</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повышения доступности современных медицинских технологий за счет развития информатизации системы здравоохранения.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Повышение качества и доступности медицинской помощи на основе повышения эффективности организации и финансового обеспечения медицинской помощи за счет:</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проведения последовательной политики первоочередного развития первичной медико-санитарной помощи с развитием института врача общей практики, укреплением участковой службы и системы неотложной помощи;</w:t>
      </w:r>
    </w:p>
    <w:p w:rsidR="00025EC6" w:rsidRPr="00F243F5" w:rsidRDefault="00025EC6" w:rsidP="00025EC6">
      <w:pPr>
        <w:tabs>
          <w:tab w:val="left" w:pos="3828"/>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перепрофилирования коечного фонда стационаров с целью повышения эффективности его использования;</w:t>
      </w:r>
    </w:p>
    <w:p w:rsidR="00025EC6" w:rsidRPr="00F243F5" w:rsidRDefault="00025EC6" w:rsidP="00025EC6">
      <w:pPr>
        <w:tabs>
          <w:tab w:val="left" w:pos="3828"/>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проведения мероприятий по улучшению и оптимизации кадровой ситуации, в т.ч. создание условий для повышения престижа и высокой оплаты труда медицинских работников;</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Адаптация здравоохранения к изменениям в демографической структуре населения: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совершенствование деятельности педиатрической службы, развитие института семейного врача, особенно в сельской местности;</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создание системы перинатальной помощи, развитие и модернизация службы родовспоможения и детства, развитие школьной медицины;</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разработка и реализация мер по улучшению показателей здоровья подростков, в том числе юношей допризывного и призывного возрастов;</w:t>
      </w:r>
    </w:p>
    <w:p w:rsidR="00025EC6" w:rsidRPr="00F243F5" w:rsidRDefault="00025EC6" w:rsidP="00025EC6">
      <w:pPr>
        <w:tabs>
          <w:tab w:val="left" w:pos="3828"/>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совершенствование организации медицинской помощи лицам пожилого возраста, в т.ч. диспансерного наблюдения с развитием геронтологической службы;</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развитие сети учреждений медико-социальной помощи и помощи на дому, гериатрических центров, усиление взаимодействия здравоохранения с системой социальной защиты;</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обеспечение качества и доступности реабилитационной помощи;</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lastRenderedPageBreak/>
        <w:t>информатизация системы здравоохранения: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развитие информационных технологий;</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создание медицинского, информационного и образовательного ресурса.</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Для решения поставленных задач совместно с Министерством здравоохранения Республики Татарстан предполагается поэтапный переход на инновационную модель развития здравоохранения: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2016-2021 годы:</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 xml:space="preserve">увеличение укомплектованности врачебными кадрами за счет привлечения молодых специалистов в учреждения здравоохранения, предоставления социальных льгот, единовременных выплат и предоставления жилья; </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оплата стационарной помощи страховыми медицинскими организациями по полному тарифу, включающему все статьи затрат на оказание медицинской помощи и рассчитанному с учетом требований медицинских стандартов;</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переориентация оказания медицинской помощи на амбулаторное звено с развитием стационар замещающих технологий;</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поэтапное приведение фактических объемов стационарной медицинской помощи к федеральным нормативам с учетом заболеваемости населения и демографических особенностей;</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оптимизация объемов оказания скорой медицинской помощи, расширение сети пунктов неотложной помощи для оказания помощи хроническим больным;</w:t>
      </w:r>
    </w:p>
    <w:p w:rsidR="000B5DBC" w:rsidRPr="00F243F5" w:rsidRDefault="000B5DBC"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создание службы паллиативной помощи;</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создание единого информационного пространства сферы здравоохранения для взаимодействия субъектов, принимающих участие в оказании медицинской помощи (внедрение электронной медицинской карты, записи к врачу в электронном виде, телемедицинских технологий и системы электронного документооборота);</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развитие государственно-частного партнерства и передача лечебными учреждениями непрофильных функций по аутсорсингу;</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2021-2025 годы:</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завершение создания единой информационной системы здравоохранения;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продолжение работы по переориентации объемов оказания медицинской помощи на амбулаторное звено, выделение коек восстановительного лечения и реабилитации;</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развитие технологий оказания высокотехнологичной медицинской помощи в лечебных учреждениях;</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202</w:t>
      </w:r>
      <w:r w:rsidR="009D6C71" w:rsidRPr="00F243F5">
        <w:rPr>
          <w:rFonts w:ascii="Times New Roman" w:eastAsia="Times New Roman" w:hAnsi="Times New Roman" w:cs="Times New Roman"/>
          <w:sz w:val="28"/>
          <w:szCs w:val="28"/>
          <w:lang w:eastAsia="ar-SA"/>
        </w:rPr>
        <w:t>6</w:t>
      </w:r>
      <w:r w:rsidRPr="00F243F5">
        <w:rPr>
          <w:rFonts w:ascii="Times New Roman" w:eastAsia="Times New Roman" w:hAnsi="Times New Roman" w:cs="Times New Roman"/>
          <w:sz w:val="28"/>
          <w:szCs w:val="28"/>
          <w:lang w:eastAsia="ar-SA"/>
        </w:rPr>
        <w:t>-2030 годы:</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функционирование современных инновационных технологий лечебно-диагностического процесса;</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обеспечение выхода на планируемые демографические показатели и показатели здоровья населения.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К 2030 году необходимо достичь следующих целевых значений важнейших индикаторов, характеризующих состояние системы здравоохранения: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снижение смертности трудоспособного населения</w:t>
      </w:r>
      <w:r w:rsidR="009D6C71" w:rsidRPr="00F243F5">
        <w:rPr>
          <w:rFonts w:ascii="Times New Roman" w:eastAsia="Times New Roman" w:hAnsi="Times New Roman" w:cs="Times New Roman"/>
          <w:sz w:val="28"/>
          <w:szCs w:val="28"/>
          <w:lang w:eastAsia="ar-SA"/>
        </w:rPr>
        <w:t xml:space="preserve"> на 26,4 % до 2030 года к уровню 2014 года (с 611,7 на 100 тыс. трудоспособного населения до 450 на 100 тыс. трудоспособного населения);</w:t>
      </w:r>
    </w:p>
    <w:p w:rsidR="00025EC6" w:rsidRPr="00F243F5" w:rsidRDefault="00025EC6"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lastRenderedPageBreak/>
        <w:t>с учетом перехода Российской Федерации с 01 января 2012 года на новую систему учета младенческой смертности, целевой показатель на 2020 год составит 10 на 1000 родившихся живыми; к 2025 году - 8 на 1000 родившихся живыми; а к 2030 году – 4,8 на 1000 родившихся живыми.</w:t>
      </w:r>
    </w:p>
    <w:p w:rsidR="001856EE" w:rsidRPr="00F243F5" w:rsidRDefault="001856EE"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p>
    <w:p w:rsidR="001856EE" w:rsidRPr="00F243F5" w:rsidRDefault="001856EE" w:rsidP="00F243F5">
      <w:pPr>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w:t>
      </w:r>
      <w:r w:rsidR="00DD025B" w:rsidRPr="00F243F5">
        <w:rPr>
          <w:rFonts w:ascii="Times New Roman" w:eastAsia="Times New Roman" w:hAnsi="Times New Roman" w:cs="Times New Roman"/>
          <w:sz w:val="28"/>
          <w:szCs w:val="28"/>
          <w:lang w:eastAsia="ar-SA"/>
        </w:rPr>
        <w:t>11</w:t>
      </w:r>
      <w:r w:rsidRPr="00F243F5">
        <w:rPr>
          <w:rFonts w:ascii="Times New Roman" w:eastAsia="Times New Roman" w:hAnsi="Times New Roman" w:cs="Times New Roman"/>
          <w:sz w:val="28"/>
          <w:szCs w:val="28"/>
          <w:lang w:eastAsia="ar-SA"/>
        </w:rPr>
        <w:t>. Пункт 2.2.8 изменить и изложить в следующей редакции:</w:t>
      </w:r>
    </w:p>
    <w:p w:rsidR="001D5A01" w:rsidRPr="00F243F5" w:rsidRDefault="001D5A01" w:rsidP="00025EC6">
      <w:pPr>
        <w:tabs>
          <w:tab w:val="left" w:pos="3828"/>
        </w:tabs>
        <w:suppressAutoHyphens/>
        <w:spacing w:after="0" w:line="240" w:lineRule="auto"/>
        <w:ind w:firstLine="720"/>
        <w:jc w:val="both"/>
        <w:rPr>
          <w:rFonts w:ascii="Times New Roman" w:eastAsia="Times New Roman" w:hAnsi="Times New Roman" w:cs="Times New Roman"/>
          <w:sz w:val="28"/>
          <w:szCs w:val="28"/>
          <w:lang w:eastAsia="ar-SA"/>
        </w:rPr>
      </w:pPr>
    </w:p>
    <w:p w:rsidR="001D5A01" w:rsidRPr="00F243F5" w:rsidRDefault="001D5A01" w:rsidP="001D5A01">
      <w:pPr>
        <w:tabs>
          <w:tab w:val="left" w:pos="3828"/>
        </w:tabs>
        <w:suppressAutoHyphens/>
        <w:spacing w:after="0" w:line="240" w:lineRule="auto"/>
        <w:ind w:right="23"/>
        <w:jc w:val="center"/>
        <w:rPr>
          <w:rFonts w:ascii="Times New Roman" w:eastAsia="Times New Roman" w:hAnsi="Times New Roman" w:cs="Times New Roman"/>
          <w:bCs/>
          <w:sz w:val="28"/>
          <w:szCs w:val="28"/>
          <w:lang w:eastAsia="ar-SA"/>
        </w:rPr>
      </w:pPr>
      <w:r w:rsidRPr="00F243F5">
        <w:rPr>
          <w:rFonts w:ascii="Times New Roman" w:eastAsia="Times New Roman" w:hAnsi="Times New Roman" w:cs="Times New Roman"/>
          <w:bCs/>
          <w:sz w:val="28"/>
          <w:szCs w:val="28"/>
          <w:lang w:eastAsia="ar-SA"/>
        </w:rPr>
        <w:t>2.2.8. Финансовый потенциал</w:t>
      </w:r>
    </w:p>
    <w:p w:rsidR="001D5A01" w:rsidRPr="00F243F5" w:rsidRDefault="001D5A01" w:rsidP="001D5A01">
      <w:pPr>
        <w:shd w:val="clear" w:color="auto" w:fill="FFFFFF"/>
        <w:tabs>
          <w:tab w:val="left" w:pos="3828"/>
        </w:tabs>
        <w:suppressAutoHyphens/>
        <w:spacing w:after="0" w:line="240" w:lineRule="auto"/>
        <w:ind w:firstLine="709"/>
        <w:jc w:val="both"/>
        <w:rPr>
          <w:rFonts w:ascii="Times New Roman" w:eastAsia="Times New Roman" w:hAnsi="Times New Roman" w:cs="Times New Roman"/>
          <w:sz w:val="28"/>
          <w:szCs w:val="28"/>
          <w:lang w:eastAsia="ar-SA"/>
        </w:rPr>
      </w:pPr>
    </w:p>
    <w:p w:rsidR="001D5A01" w:rsidRPr="00F243F5" w:rsidRDefault="001D5A01" w:rsidP="001D5A01">
      <w:pPr>
        <w:shd w:val="clear" w:color="auto" w:fill="FFFFFF"/>
        <w:tabs>
          <w:tab w:val="left" w:pos="3828"/>
        </w:tabs>
        <w:suppressAutoHyphens/>
        <w:spacing w:after="0" w:line="240" w:lineRule="auto"/>
        <w:ind w:firstLine="709"/>
        <w:jc w:val="both"/>
        <w:rPr>
          <w:rFonts w:ascii="Times New Roman" w:eastAsia="Times New Roman" w:hAnsi="Times New Roman" w:cs="Times New Roman"/>
          <w:spacing w:val="-3"/>
          <w:w w:val="101"/>
          <w:sz w:val="28"/>
          <w:szCs w:val="28"/>
          <w:lang w:eastAsia="ar-SA"/>
        </w:rPr>
      </w:pPr>
      <w:r w:rsidRPr="00F243F5">
        <w:rPr>
          <w:rFonts w:ascii="Times New Roman" w:eastAsia="Times New Roman" w:hAnsi="Times New Roman" w:cs="Times New Roman"/>
          <w:spacing w:val="-3"/>
          <w:w w:val="101"/>
          <w:sz w:val="28"/>
          <w:szCs w:val="28"/>
          <w:lang w:eastAsia="ar-SA"/>
        </w:rPr>
        <w:t>Финансовые ресурсы включают в себя средства хозяйствующих субъектов Буинского муниципального района, бюджетной системы, местных отделений внебюджетных фондов, банковско-кредитной и страховой систем, фондового рынка и зависят от результативности развития экономики Буинского муниципального района.</w:t>
      </w:r>
    </w:p>
    <w:p w:rsidR="001D5A01" w:rsidRPr="00F243F5" w:rsidRDefault="001D5A01" w:rsidP="001D5A01">
      <w:pPr>
        <w:shd w:val="clear" w:color="auto" w:fill="FFFFFF"/>
        <w:tabs>
          <w:tab w:val="left" w:pos="3828"/>
        </w:tabs>
        <w:suppressAutoHyphens/>
        <w:spacing w:after="0" w:line="240" w:lineRule="auto"/>
        <w:ind w:firstLine="709"/>
        <w:jc w:val="both"/>
        <w:rPr>
          <w:rFonts w:ascii="Times New Roman" w:eastAsia="Times New Roman" w:hAnsi="Times New Roman" w:cs="Times New Roman"/>
          <w:spacing w:val="-3"/>
          <w:w w:val="101"/>
          <w:sz w:val="28"/>
          <w:szCs w:val="28"/>
          <w:lang w:eastAsia="ar-SA"/>
        </w:rPr>
      </w:pPr>
      <w:r w:rsidRPr="00F243F5">
        <w:rPr>
          <w:rFonts w:ascii="Times New Roman" w:eastAsia="Times New Roman" w:hAnsi="Times New Roman" w:cs="Times New Roman"/>
          <w:spacing w:val="-3"/>
          <w:w w:val="101"/>
          <w:sz w:val="28"/>
          <w:szCs w:val="28"/>
          <w:lang w:eastAsia="ar-SA"/>
        </w:rPr>
        <w:t>В бюджетной сфере района отмечается положительная динамика, которая характеризуется, прежде всего, стабильным ростом объема финансовых ресурсов, сформированных на территории Буинского муниципального района за счет всех источников.</w:t>
      </w:r>
    </w:p>
    <w:p w:rsidR="001D5A01" w:rsidRPr="00F243F5" w:rsidRDefault="001D5A01" w:rsidP="001D5A01">
      <w:pPr>
        <w:shd w:val="clear" w:color="auto" w:fill="FFFFFF"/>
        <w:tabs>
          <w:tab w:val="left" w:pos="3828"/>
        </w:tabs>
        <w:suppressAutoHyphens/>
        <w:spacing w:after="0" w:line="240" w:lineRule="auto"/>
        <w:ind w:firstLine="709"/>
        <w:jc w:val="right"/>
        <w:rPr>
          <w:rFonts w:ascii="Times New Roman" w:eastAsia="Times New Roman" w:hAnsi="Times New Roman" w:cs="Times New Roman"/>
          <w:spacing w:val="-3"/>
          <w:w w:val="101"/>
          <w:sz w:val="28"/>
          <w:szCs w:val="28"/>
          <w:lang w:eastAsia="ar-SA"/>
        </w:rPr>
      </w:pPr>
      <w:r w:rsidRPr="00F243F5">
        <w:rPr>
          <w:rFonts w:ascii="Times New Roman" w:eastAsia="Times New Roman" w:hAnsi="Times New Roman" w:cs="Times New Roman"/>
          <w:spacing w:val="-3"/>
          <w:w w:val="101"/>
          <w:sz w:val="28"/>
          <w:szCs w:val="28"/>
          <w:lang w:eastAsia="ar-SA"/>
        </w:rPr>
        <w:t>Таблица № 12</w:t>
      </w:r>
    </w:p>
    <w:p w:rsidR="001D5A01" w:rsidRPr="00F243F5" w:rsidRDefault="001D5A01" w:rsidP="001D5A01">
      <w:pPr>
        <w:shd w:val="clear" w:color="auto" w:fill="FFFFFF"/>
        <w:tabs>
          <w:tab w:val="left" w:pos="3828"/>
        </w:tabs>
        <w:suppressAutoHyphens/>
        <w:spacing w:after="0" w:line="240" w:lineRule="auto"/>
        <w:ind w:firstLine="709"/>
        <w:jc w:val="both"/>
        <w:rPr>
          <w:rFonts w:ascii="Times New Roman" w:eastAsia="Times New Roman" w:hAnsi="Times New Roman" w:cs="Times New Roman"/>
          <w:spacing w:val="-3"/>
          <w:w w:val="101"/>
          <w:sz w:val="28"/>
          <w:szCs w:val="28"/>
          <w:lang w:eastAsia="ar-SA"/>
        </w:rPr>
      </w:pPr>
    </w:p>
    <w:p w:rsidR="00F243F5" w:rsidRDefault="001D5A01" w:rsidP="001D5A01">
      <w:pPr>
        <w:shd w:val="clear" w:color="auto" w:fill="FFFFFF"/>
        <w:tabs>
          <w:tab w:val="left" w:pos="3828"/>
        </w:tabs>
        <w:suppressAutoHyphens/>
        <w:spacing w:after="0" w:line="100" w:lineRule="atLeast"/>
        <w:jc w:val="center"/>
        <w:rPr>
          <w:rFonts w:ascii="Times New Roman" w:eastAsia="Times New Roman" w:hAnsi="Times New Roman" w:cs="Times New Roman"/>
          <w:spacing w:val="-3"/>
          <w:w w:val="101"/>
          <w:sz w:val="28"/>
          <w:szCs w:val="28"/>
          <w:lang w:eastAsia="ar-SA"/>
        </w:rPr>
      </w:pPr>
      <w:r w:rsidRPr="00F243F5">
        <w:rPr>
          <w:rFonts w:ascii="Times New Roman" w:eastAsia="Times New Roman" w:hAnsi="Times New Roman" w:cs="Times New Roman"/>
          <w:spacing w:val="-3"/>
          <w:w w:val="101"/>
          <w:sz w:val="28"/>
          <w:szCs w:val="28"/>
          <w:lang w:eastAsia="ar-SA"/>
        </w:rPr>
        <w:t xml:space="preserve">Динамика и структура доходов консолидированного бюджета </w:t>
      </w:r>
    </w:p>
    <w:p w:rsidR="001D5A01" w:rsidRPr="00F243F5" w:rsidRDefault="001D5A01" w:rsidP="001D5A01">
      <w:pPr>
        <w:shd w:val="clear" w:color="auto" w:fill="FFFFFF"/>
        <w:tabs>
          <w:tab w:val="left" w:pos="3828"/>
        </w:tabs>
        <w:suppressAutoHyphens/>
        <w:spacing w:after="0" w:line="100" w:lineRule="atLeast"/>
        <w:jc w:val="center"/>
        <w:rPr>
          <w:rFonts w:ascii="Times New Roman" w:eastAsia="Times New Roman" w:hAnsi="Times New Roman" w:cs="Times New Roman"/>
          <w:spacing w:val="-3"/>
          <w:w w:val="101"/>
          <w:sz w:val="28"/>
          <w:szCs w:val="28"/>
          <w:lang w:eastAsia="ar-SA"/>
        </w:rPr>
      </w:pPr>
      <w:r w:rsidRPr="00F243F5">
        <w:rPr>
          <w:rFonts w:ascii="Times New Roman" w:eastAsia="Times New Roman" w:hAnsi="Times New Roman" w:cs="Times New Roman"/>
          <w:spacing w:val="-3"/>
          <w:w w:val="101"/>
          <w:sz w:val="28"/>
          <w:szCs w:val="28"/>
          <w:lang w:eastAsia="ar-SA"/>
        </w:rPr>
        <w:t>Буинского муниципального района за 2010-2019 гг.</w:t>
      </w:r>
    </w:p>
    <w:p w:rsidR="001D5A01" w:rsidRPr="00F243F5" w:rsidRDefault="001D5A01" w:rsidP="001D5A01">
      <w:pPr>
        <w:shd w:val="clear" w:color="auto" w:fill="FFFFFF"/>
        <w:tabs>
          <w:tab w:val="left" w:pos="3828"/>
        </w:tabs>
        <w:suppressAutoHyphens/>
        <w:spacing w:after="0" w:line="100" w:lineRule="atLeast"/>
        <w:jc w:val="center"/>
        <w:rPr>
          <w:rFonts w:ascii="Times New Roman" w:eastAsia="Times New Roman" w:hAnsi="Times New Roman" w:cs="Times New Roman"/>
          <w:spacing w:val="-3"/>
          <w:w w:val="101"/>
          <w:sz w:val="28"/>
          <w:szCs w:val="28"/>
          <w:lang w:eastAsia="ar-SA"/>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812"/>
        <w:gridCol w:w="1357"/>
        <w:gridCol w:w="1176"/>
        <w:gridCol w:w="770"/>
        <w:gridCol w:w="1056"/>
        <w:gridCol w:w="673"/>
        <w:gridCol w:w="1236"/>
        <w:gridCol w:w="780"/>
        <w:gridCol w:w="1236"/>
      </w:tblGrid>
      <w:tr w:rsidR="001D5A01" w:rsidRPr="00F243F5" w:rsidTr="00A349A2">
        <w:tc>
          <w:tcPr>
            <w:tcW w:w="597" w:type="dxa"/>
            <w:vMerge w:val="restart"/>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w:t>
            </w:r>
          </w:p>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п/п</w:t>
            </w:r>
          </w:p>
        </w:tc>
        <w:tc>
          <w:tcPr>
            <w:tcW w:w="812" w:type="dxa"/>
            <w:vMerge w:val="restart"/>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Годы</w:t>
            </w:r>
          </w:p>
        </w:tc>
        <w:tc>
          <w:tcPr>
            <w:tcW w:w="1357" w:type="dxa"/>
            <w:vMerge w:val="restart"/>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Доходы, тыс.</w:t>
            </w:r>
          </w:p>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руб.,</w:t>
            </w:r>
          </w:p>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всего</w:t>
            </w:r>
          </w:p>
        </w:tc>
        <w:tc>
          <w:tcPr>
            <w:tcW w:w="5691" w:type="dxa"/>
            <w:gridSpan w:val="6"/>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в том числе</w:t>
            </w:r>
          </w:p>
        </w:tc>
        <w:tc>
          <w:tcPr>
            <w:tcW w:w="1236" w:type="dxa"/>
            <w:vMerge w:val="restart"/>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Расходы, тыс. руб.</w:t>
            </w:r>
          </w:p>
        </w:tc>
      </w:tr>
      <w:tr w:rsidR="001D5A01" w:rsidRPr="00F243F5" w:rsidTr="00A349A2">
        <w:tc>
          <w:tcPr>
            <w:tcW w:w="597" w:type="dxa"/>
            <w:vMerge/>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p>
        </w:tc>
        <w:tc>
          <w:tcPr>
            <w:tcW w:w="812" w:type="dxa"/>
            <w:vMerge/>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p>
        </w:tc>
        <w:tc>
          <w:tcPr>
            <w:tcW w:w="1357" w:type="dxa"/>
            <w:vMerge/>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p>
        </w:tc>
        <w:tc>
          <w:tcPr>
            <w:tcW w:w="1946" w:type="dxa"/>
            <w:gridSpan w:val="2"/>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налоговые доходы</w:t>
            </w:r>
          </w:p>
        </w:tc>
        <w:tc>
          <w:tcPr>
            <w:tcW w:w="1729" w:type="dxa"/>
            <w:gridSpan w:val="2"/>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неналоговые доходы</w:t>
            </w:r>
          </w:p>
        </w:tc>
        <w:tc>
          <w:tcPr>
            <w:tcW w:w="2016" w:type="dxa"/>
            <w:gridSpan w:val="2"/>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безвозмездные поступления</w:t>
            </w:r>
          </w:p>
        </w:tc>
        <w:tc>
          <w:tcPr>
            <w:tcW w:w="1236" w:type="dxa"/>
            <w:vMerge/>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p>
        </w:tc>
      </w:tr>
      <w:tr w:rsidR="001D5A01" w:rsidRPr="00F243F5" w:rsidTr="00A349A2">
        <w:tc>
          <w:tcPr>
            <w:tcW w:w="597" w:type="dxa"/>
            <w:vMerge/>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p>
        </w:tc>
        <w:tc>
          <w:tcPr>
            <w:tcW w:w="812" w:type="dxa"/>
            <w:vMerge/>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p>
        </w:tc>
        <w:tc>
          <w:tcPr>
            <w:tcW w:w="1357" w:type="dxa"/>
            <w:vMerge/>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тыс. руб.</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тыс. руб.</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тыс. руб.</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w:t>
            </w:r>
          </w:p>
        </w:tc>
        <w:tc>
          <w:tcPr>
            <w:tcW w:w="1236" w:type="dxa"/>
            <w:vMerge/>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2010</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738 063,5</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214 763,4</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29,10</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52 736,7</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7,14</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470563,4</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63,76</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709705,6</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2011</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726 310,0</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228 632,5</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31,50</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23 346,4</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3,20</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474331,1</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65,30</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734652,4</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2012</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833 604,4</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349 289,4</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41,90</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33 271,0</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4,00</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451044,0</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54,1</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782716,3</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2013</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918 902,7</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370 511,1</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40,32</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28 144,4</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3,06</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520247,2</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56,62</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933149,0</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5</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2014</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1033 967,1</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357 622,7</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34,58</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34 920,9</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3,37</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641423,5</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62,00</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1061815,0</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2015</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1078219,3</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367 937,5</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34,15</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39 496,3</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3,66</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670785,5</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62,19</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1077554,6</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2016</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986344,7</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393274,2</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39,87</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38901,3</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3,94</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557250,9</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56,49</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971768,6</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8</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2017</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1067312,9</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411713,7</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38,57</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32632,5</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3,05</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622966,7</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58,39</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1039273,6</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9</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2018</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1227649,5</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442287,1</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36,03</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36797,7</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2,99</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748564,7</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60,97</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1201160,9</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10</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2019</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1180456,4</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424777,5</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35,98</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25023,9</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2,12</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730655,0</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61,89</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1278804,8</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11</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2020</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1100888,2</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394 337,9</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35,82</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21 165,6</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1,92</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685384,7</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62,26</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1100888,2</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12</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2021</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1144923,7</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399 897,0</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34,92</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21 165,6</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1,85</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723861,1</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63,23</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1144923,7</w:t>
            </w:r>
          </w:p>
        </w:tc>
      </w:tr>
      <w:tr w:rsidR="001D5A01" w:rsidRPr="00F243F5" w:rsidTr="00A349A2">
        <w:tc>
          <w:tcPr>
            <w:tcW w:w="59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13</w:t>
            </w:r>
          </w:p>
        </w:tc>
        <w:tc>
          <w:tcPr>
            <w:tcW w:w="812"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2030</w:t>
            </w:r>
          </w:p>
        </w:tc>
        <w:tc>
          <w:tcPr>
            <w:tcW w:w="1357"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1629583,5</w:t>
            </w:r>
          </w:p>
        </w:tc>
        <w:tc>
          <w:tcPr>
            <w:tcW w:w="117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454 654,2</w:t>
            </w:r>
          </w:p>
        </w:tc>
        <w:tc>
          <w:tcPr>
            <w:tcW w:w="77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27,90</w:t>
            </w:r>
          </w:p>
        </w:tc>
        <w:tc>
          <w:tcPr>
            <w:tcW w:w="105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21 165,6</w:t>
            </w:r>
          </w:p>
        </w:tc>
        <w:tc>
          <w:tcPr>
            <w:tcW w:w="673"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1,30</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1153763,7</w:t>
            </w:r>
          </w:p>
        </w:tc>
        <w:tc>
          <w:tcPr>
            <w:tcW w:w="780"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70,80</w:t>
            </w:r>
          </w:p>
        </w:tc>
        <w:tc>
          <w:tcPr>
            <w:tcW w:w="1236" w:type="dxa"/>
          </w:tcPr>
          <w:p w:rsidR="001D5A01" w:rsidRPr="00F243F5" w:rsidRDefault="001D5A01" w:rsidP="001D5A01">
            <w:pPr>
              <w:suppressAutoHyphens/>
              <w:spacing w:after="0" w:line="240" w:lineRule="auto"/>
              <w:rPr>
                <w:rFonts w:ascii="Times New Roman" w:eastAsia="Times New Roman" w:hAnsi="Times New Roman" w:cs="Times New Roman"/>
                <w:sz w:val="24"/>
                <w:szCs w:val="24"/>
                <w:lang w:eastAsia="ar-SA"/>
              </w:rPr>
            </w:pPr>
            <w:r w:rsidRPr="00F243F5">
              <w:rPr>
                <w:rFonts w:ascii="Times New Roman" w:eastAsia="Times New Roman" w:hAnsi="Times New Roman" w:cs="Times New Roman"/>
                <w:sz w:val="24"/>
                <w:szCs w:val="24"/>
                <w:lang w:eastAsia="ar-SA"/>
              </w:rPr>
              <w:t>1629583,5</w:t>
            </w:r>
          </w:p>
        </w:tc>
      </w:tr>
    </w:tbl>
    <w:p w:rsidR="001D5A01" w:rsidRPr="00F243F5" w:rsidRDefault="001D5A01" w:rsidP="001D5A01">
      <w:pPr>
        <w:shd w:val="clear" w:color="auto" w:fill="FFFFFF"/>
        <w:tabs>
          <w:tab w:val="left" w:pos="3828"/>
        </w:tabs>
        <w:suppressAutoHyphens/>
        <w:spacing w:after="0" w:line="240" w:lineRule="auto"/>
        <w:ind w:firstLine="709"/>
        <w:jc w:val="both"/>
        <w:rPr>
          <w:rFonts w:ascii="Times New Roman" w:eastAsia="Times New Roman" w:hAnsi="Times New Roman" w:cs="Times New Roman"/>
          <w:spacing w:val="-3"/>
          <w:w w:val="101"/>
          <w:sz w:val="28"/>
          <w:szCs w:val="28"/>
          <w:lang w:eastAsia="ar-SA"/>
        </w:rPr>
      </w:pPr>
    </w:p>
    <w:p w:rsidR="001D5A01" w:rsidRPr="00F243F5" w:rsidRDefault="001D5A01" w:rsidP="001D5A01">
      <w:pPr>
        <w:shd w:val="clear" w:color="auto" w:fill="FFFFFF"/>
        <w:tabs>
          <w:tab w:val="left" w:pos="3828"/>
        </w:tabs>
        <w:suppressAutoHyphens/>
        <w:spacing w:after="0" w:line="240" w:lineRule="auto"/>
        <w:ind w:firstLine="709"/>
        <w:jc w:val="both"/>
        <w:rPr>
          <w:rFonts w:ascii="Times New Roman" w:eastAsia="Times New Roman" w:hAnsi="Times New Roman" w:cs="Times New Roman"/>
          <w:spacing w:val="-3"/>
          <w:w w:val="101"/>
          <w:sz w:val="28"/>
          <w:szCs w:val="28"/>
          <w:lang w:eastAsia="ar-SA"/>
        </w:rPr>
      </w:pPr>
      <w:r w:rsidRPr="00F243F5">
        <w:rPr>
          <w:rFonts w:ascii="Times New Roman" w:eastAsia="Times New Roman" w:hAnsi="Times New Roman" w:cs="Times New Roman"/>
          <w:spacing w:val="-3"/>
          <w:w w:val="101"/>
          <w:sz w:val="28"/>
          <w:szCs w:val="28"/>
          <w:lang w:eastAsia="ar-SA"/>
        </w:rPr>
        <w:t>Наибольший удельный вес в собственных доходах (налоговые и неналоговые доходы) консолидированного бюджета занимают налоговые доходы.</w:t>
      </w:r>
    </w:p>
    <w:p w:rsidR="001D5A01" w:rsidRPr="00F243F5" w:rsidRDefault="001D5A01" w:rsidP="001D5A01">
      <w:pPr>
        <w:shd w:val="clear" w:color="auto" w:fill="FFFFFF"/>
        <w:tabs>
          <w:tab w:val="left" w:pos="3828"/>
        </w:tabs>
        <w:suppressAutoHyphens/>
        <w:spacing w:after="0" w:line="240" w:lineRule="auto"/>
        <w:ind w:firstLine="709"/>
        <w:jc w:val="both"/>
        <w:rPr>
          <w:rFonts w:ascii="Times New Roman" w:eastAsia="Times New Roman" w:hAnsi="Times New Roman" w:cs="Times New Roman"/>
          <w:spacing w:val="-3"/>
          <w:w w:val="101"/>
          <w:sz w:val="28"/>
          <w:szCs w:val="28"/>
          <w:lang w:eastAsia="ar-SA"/>
        </w:rPr>
      </w:pPr>
      <w:r w:rsidRPr="00F243F5">
        <w:rPr>
          <w:rFonts w:ascii="Times New Roman" w:eastAsia="Times New Roman" w:hAnsi="Times New Roman" w:cs="Times New Roman"/>
          <w:spacing w:val="-3"/>
          <w:w w:val="101"/>
          <w:sz w:val="28"/>
          <w:szCs w:val="28"/>
          <w:lang w:eastAsia="ar-SA"/>
        </w:rPr>
        <w:t>Среди налоговых доходов наибольшая доля приходится на налоги: НДФЛ – 79,6%, земельный налог –5,4 %, ЕНВД –3,1 %, налог на имущество физических лиц –2,6%.</w:t>
      </w:r>
    </w:p>
    <w:p w:rsidR="001D5A01" w:rsidRPr="00F243F5" w:rsidRDefault="001D5A01" w:rsidP="001D5A01">
      <w:pPr>
        <w:tabs>
          <w:tab w:val="left" w:pos="142"/>
          <w:tab w:val="left" w:pos="426"/>
          <w:tab w:val="left" w:pos="3828"/>
        </w:tabs>
        <w:suppressAutoHyphens/>
        <w:autoSpaceDE w:val="0"/>
        <w:autoSpaceDN w:val="0"/>
        <w:adjustRightInd w:val="0"/>
        <w:spacing w:after="0" w:line="240" w:lineRule="auto"/>
        <w:ind w:firstLine="720"/>
        <w:jc w:val="both"/>
        <w:rPr>
          <w:rFonts w:ascii="Times New Roman" w:eastAsia="Calibri" w:hAnsi="Times New Roman" w:cs="Times New Roman"/>
          <w:spacing w:val="-3"/>
          <w:w w:val="101"/>
          <w:sz w:val="28"/>
          <w:szCs w:val="28"/>
          <w:lang w:eastAsia="ar-SA"/>
        </w:rPr>
      </w:pPr>
      <w:r w:rsidRPr="00F243F5">
        <w:rPr>
          <w:rFonts w:ascii="Times New Roman" w:eastAsia="Calibri" w:hAnsi="Times New Roman" w:cs="Times New Roman"/>
          <w:spacing w:val="-3"/>
          <w:w w:val="101"/>
          <w:sz w:val="28"/>
          <w:szCs w:val="28"/>
          <w:lang w:eastAsia="ar-SA"/>
        </w:rPr>
        <w:lastRenderedPageBreak/>
        <w:t>Неналоговые доходы за последние пять лет увеличились в 1,5 раза, но их доля, не превышает 5,5%.</w:t>
      </w:r>
    </w:p>
    <w:p w:rsidR="001D5A01" w:rsidRPr="00F243F5" w:rsidRDefault="001D5A01" w:rsidP="001D5A01">
      <w:pPr>
        <w:tabs>
          <w:tab w:val="left" w:pos="142"/>
          <w:tab w:val="left" w:pos="426"/>
          <w:tab w:val="left" w:pos="3828"/>
        </w:tabs>
        <w:suppressAutoHyphens/>
        <w:autoSpaceDE w:val="0"/>
        <w:autoSpaceDN w:val="0"/>
        <w:adjustRightInd w:val="0"/>
        <w:spacing w:after="0" w:line="240" w:lineRule="auto"/>
        <w:ind w:firstLine="720"/>
        <w:jc w:val="both"/>
        <w:rPr>
          <w:rFonts w:ascii="Times New Roman" w:eastAsia="Calibri" w:hAnsi="Times New Roman" w:cs="Times New Roman"/>
          <w:spacing w:val="-3"/>
          <w:w w:val="101"/>
          <w:sz w:val="28"/>
          <w:szCs w:val="28"/>
          <w:lang w:eastAsia="ar-SA"/>
        </w:rPr>
      </w:pPr>
      <w:r w:rsidRPr="00F243F5">
        <w:rPr>
          <w:rFonts w:ascii="Times New Roman" w:eastAsia="Calibri" w:hAnsi="Times New Roman" w:cs="Times New Roman"/>
          <w:spacing w:val="-3"/>
          <w:w w:val="101"/>
          <w:sz w:val="28"/>
          <w:szCs w:val="28"/>
          <w:lang w:eastAsia="ar-SA"/>
        </w:rPr>
        <w:t>Одновременно наблюдается повышение в консолидированном бюджете Буинского муниципального района доли безвозмездных поступлений: в 2015 году – 62,19%, в 2016 г. -  56,49%,</w:t>
      </w:r>
      <w:r w:rsidR="00F243F5">
        <w:rPr>
          <w:rFonts w:ascii="Times New Roman" w:eastAsia="Calibri" w:hAnsi="Times New Roman" w:cs="Times New Roman"/>
          <w:spacing w:val="-3"/>
          <w:w w:val="101"/>
          <w:sz w:val="28"/>
          <w:szCs w:val="28"/>
          <w:lang w:eastAsia="ar-SA"/>
        </w:rPr>
        <w:t xml:space="preserve"> </w:t>
      </w:r>
      <w:r w:rsidRPr="00F243F5">
        <w:rPr>
          <w:rFonts w:ascii="Times New Roman" w:eastAsia="Calibri" w:hAnsi="Times New Roman" w:cs="Times New Roman"/>
          <w:spacing w:val="-3"/>
          <w:w w:val="101"/>
          <w:sz w:val="28"/>
          <w:szCs w:val="28"/>
          <w:lang w:eastAsia="ar-SA"/>
        </w:rPr>
        <w:t>в 2017 году -58,39 %, в 2018 году – 60,97%.</w:t>
      </w:r>
    </w:p>
    <w:p w:rsidR="001D5A01" w:rsidRPr="00F243F5" w:rsidRDefault="001D5A01" w:rsidP="001D5A01">
      <w:pPr>
        <w:widowControl w:val="0"/>
        <w:tabs>
          <w:tab w:val="left" w:pos="993"/>
          <w:tab w:val="left" w:pos="3828"/>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Доля собственных доходов в консолидированном бюджете Буинского муниципального района составляет в 2014 году – 37,96%, в 2015году- 37,78%, в 2016 году -  43,81%, в 2017году- 41,63%, в 2018 году- 39,02%.</w:t>
      </w:r>
    </w:p>
    <w:p w:rsidR="001D5A01" w:rsidRPr="00F243F5" w:rsidRDefault="001D5A01" w:rsidP="001D5A01">
      <w:pPr>
        <w:widowControl w:val="0"/>
        <w:tabs>
          <w:tab w:val="left" w:pos="993"/>
          <w:tab w:val="left" w:pos="3828"/>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Удельный вес социальных расходов районного бюджета Буинского муниципального района в общих расходах Буинского муниципального района составляет в 2015 годах - 70,7%, в 2016 году – 76,92%,</w:t>
      </w:r>
      <w:r w:rsidR="00F243F5">
        <w:rPr>
          <w:rFonts w:ascii="Times New Roman" w:eastAsia="Times New Roman" w:hAnsi="Times New Roman" w:cs="Times New Roman"/>
          <w:sz w:val="28"/>
          <w:szCs w:val="28"/>
          <w:lang w:eastAsia="ar-SA"/>
        </w:rPr>
        <w:t xml:space="preserve"> </w:t>
      </w:r>
      <w:r w:rsidRPr="00F243F5">
        <w:rPr>
          <w:rFonts w:ascii="Times New Roman" w:eastAsia="Times New Roman" w:hAnsi="Times New Roman" w:cs="Times New Roman"/>
          <w:sz w:val="28"/>
          <w:szCs w:val="28"/>
          <w:lang w:eastAsia="ar-SA"/>
        </w:rPr>
        <w:t>в 2017 году – 73,2 %, в 2018 году – 66,6% при том, что данные расходы носят первоочередной, социально значимый характер, а именно: содержание детских садов, общеобразовательных учреждений, учреждений, оказывающих услуги здравоохранения и спорта, культуры, социального обеспечения населения.</w:t>
      </w:r>
    </w:p>
    <w:p w:rsidR="00DD025B" w:rsidRPr="00F243F5" w:rsidRDefault="00DD025B" w:rsidP="00F243F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1.12. Пункт 5.2.3:</w:t>
      </w:r>
    </w:p>
    <w:p w:rsidR="00DD025B" w:rsidRPr="00F243F5" w:rsidRDefault="00DD025B" w:rsidP="00F243F5">
      <w:pPr>
        <w:widowControl w:val="0"/>
        <w:tabs>
          <w:tab w:val="left" w:pos="993"/>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243F5">
        <w:rPr>
          <w:rFonts w:ascii="Times New Roman" w:eastAsia="Times New Roman" w:hAnsi="Times New Roman" w:cs="Times New Roman"/>
          <w:sz w:val="28"/>
          <w:szCs w:val="28"/>
          <w:lang w:eastAsia="ar-SA"/>
        </w:rPr>
        <w:t>Перечень</w:t>
      </w:r>
      <w:r w:rsidRPr="00F243F5">
        <w:rPr>
          <w:rFonts w:ascii="Times New Roman" w:hAnsi="Times New Roman" w:cs="Times New Roman"/>
          <w:sz w:val="28"/>
          <w:szCs w:val="28"/>
        </w:rPr>
        <w:t xml:space="preserve"> </w:t>
      </w:r>
      <w:r w:rsidRPr="00F243F5">
        <w:rPr>
          <w:rFonts w:ascii="Times New Roman" w:eastAsia="Times New Roman" w:hAnsi="Times New Roman" w:cs="Times New Roman"/>
          <w:sz w:val="28"/>
          <w:szCs w:val="28"/>
          <w:lang w:eastAsia="ar-SA"/>
        </w:rPr>
        <w:t>первоочередных муниципальных программ изменить и изложить в следующей редакции:</w:t>
      </w:r>
    </w:p>
    <w:p w:rsidR="00DD025B" w:rsidRPr="00F243F5" w:rsidRDefault="00DD025B" w:rsidP="00DD025B">
      <w:pPr>
        <w:widowControl w:val="0"/>
        <w:tabs>
          <w:tab w:val="left" w:pos="993"/>
          <w:tab w:val="left" w:pos="3828"/>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735111" w:rsidRDefault="00DD025B" w:rsidP="00DD025B">
      <w:pPr>
        <w:spacing w:after="0" w:line="276" w:lineRule="auto"/>
        <w:jc w:val="center"/>
        <w:rPr>
          <w:rFonts w:ascii="Times New Roman" w:eastAsia="Times New Roman" w:hAnsi="Times New Roman" w:cs="Times New Roman"/>
          <w:sz w:val="28"/>
          <w:szCs w:val="28"/>
          <w:lang w:eastAsia="ru-RU"/>
        </w:rPr>
      </w:pPr>
      <w:r w:rsidRPr="00F243F5">
        <w:rPr>
          <w:rFonts w:ascii="Times New Roman" w:eastAsia="Times New Roman" w:hAnsi="Times New Roman" w:cs="Times New Roman"/>
          <w:sz w:val="28"/>
          <w:szCs w:val="28"/>
          <w:lang w:eastAsia="ru-RU"/>
        </w:rPr>
        <w:t>Перечень первоочередных муниципальных программ</w:t>
      </w:r>
    </w:p>
    <w:tbl>
      <w:tblPr>
        <w:tblStyle w:val="a4"/>
        <w:tblW w:w="10201" w:type="dxa"/>
        <w:tblLook w:val="04A0" w:firstRow="1" w:lastRow="0" w:firstColumn="1" w:lastColumn="0" w:noHBand="0" w:noVBand="1"/>
      </w:tblPr>
      <w:tblGrid>
        <w:gridCol w:w="594"/>
        <w:gridCol w:w="3618"/>
        <w:gridCol w:w="1176"/>
        <w:gridCol w:w="1411"/>
        <w:gridCol w:w="3402"/>
      </w:tblGrid>
      <w:tr w:rsidR="00735111" w:rsidRPr="00735111" w:rsidTr="00735111">
        <w:tc>
          <w:tcPr>
            <w:tcW w:w="594"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 п/п</w:t>
            </w:r>
          </w:p>
        </w:tc>
        <w:tc>
          <w:tcPr>
            <w:tcW w:w="3618"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Наименование программы</w:t>
            </w:r>
          </w:p>
        </w:tc>
        <w:tc>
          <w:tcPr>
            <w:tcW w:w="1176"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Дата принятия</w:t>
            </w:r>
          </w:p>
        </w:tc>
        <w:tc>
          <w:tcPr>
            <w:tcW w:w="1411"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Сроки реализации</w:t>
            </w:r>
          </w:p>
        </w:tc>
        <w:tc>
          <w:tcPr>
            <w:tcW w:w="3402"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Примечание</w:t>
            </w:r>
          </w:p>
        </w:tc>
      </w:tr>
      <w:tr w:rsidR="00735111" w:rsidRPr="00735111" w:rsidTr="00735111">
        <w:tc>
          <w:tcPr>
            <w:tcW w:w="594"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w:t>
            </w:r>
          </w:p>
        </w:tc>
        <w:tc>
          <w:tcPr>
            <w:tcW w:w="3618" w:type="dxa"/>
          </w:tcPr>
          <w:p w:rsidR="00735111" w:rsidRPr="00735111" w:rsidRDefault="00735111" w:rsidP="00735111">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«Реализация нтикоррупционной политики в Буинском муниципальном районе на 2015-2020 годы»</w:t>
            </w:r>
          </w:p>
        </w:tc>
        <w:tc>
          <w:tcPr>
            <w:tcW w:w="1176"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2014</w:t>
            </w:r>
          </w:p>
        </w:tc>
        <w:tc>
          <w:tcPr>
            <w:tcW w:w="1411"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2015-20120</w:t>
            </w:r>
          </w:p>
        </w:tc>
        <w:tc>
          <w:tcPr>
            <w:tcW w:w="3402"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558-п</w:t>
            </w:r>
          </w:p>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27.11.2014</w:t>
            </w:r>
          </w:p>
        </w:tc>
      </w:tr>
      <w:tr w:rsidR="00735111" w:rsidRPr="00735111" w:rsidTr="00735111">
        <w:tc>
          <w:tcPr>
            <w:tcW w:w="594"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w:t>
            </w:r>
          </w:p>
        </w:tc>
        <w:tc>
          <w:tcPr>
            <w:tcW w:w="3618"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Буинского муниципального района </w:t>
            </w:r>
            <w:r w:rsidRPr="00735111">
              <w:rPr>
                <w:rFonts w:ascii="Times New Roman" w:eastAsia="Times New Roman" w:hAnsi="Times New Roman" w:cs="Times New Roman"/>
                <w:color w:val="000000"/>
                <w:sz w:val="24"/>
                <w:szCs w:val="24"/>
                <w:shd w:val="clear" w:color="auto" w:fill="FFFFFF"/>
                <w:lang w:eastAsia="ru-RU"/>
              </w:rPr>
              <w:t xml:space="preserve">на 2020 </w:t>
            </w:r>
            <w:r w:rsidRPr="00735111">
              <w:rPr>
                <w:rFonts w:ascii="Times New Roman" w:eastAsia="Times New Roman" w:hAnsi="Times New Roman" w:cs="Times New Roman"/>
                <w:sz w:val="24"/>
                <w:szCs w:val="24"/>
                <w:lang w:eastAsia="ru-RU"/>
              </w:rPr>
              <w:t>год»</w:t>
            </w:r>
          </w:p>
        </w:tc>
        <w:tc>
          <w:tcPr>
            <w:tcW w:w="1176"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w:t>
            </w:r>
          </w:p>
        </w:tc>
        <w:tc>
          <w:tcPr>
            <w:tcW w:w="1411"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2020</w:t>
            </w:r>
          </w:p>
        </w:tc>
        <w:tc>
          <w:tcPr>
            <w:tcW w:w="3402"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 xml:space="preserve">Постановление исполнительного комитета Буинского муниципального района № 390/ик-п </w:t>
            </w:r>
          </w:p>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17.09.2019</w:t>
            </w:r>
          </w:p>
        </w:tc>
      </w:tr>
      <w:tr w:rsidR="00735111" w:rsidRPr="00735111" w:rsidTr="00735111">
        <w:tc>
          <w:tcPr>
            <w:tcW w:w="594"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3</w:t>
            </w:r>
          </w:p>
        </w:tc>
        <w:tc>
          <w:tcPr>
            <w:tcW w:w="3618"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Программа капитального ремонта общего имущества в многоквартирных домах, расположенных на территории Буинского муниципального района, в 2020-2022 году</w:t>
            </w:r>
          </w:p>
        </w:tc>
        <w:tc>
          <w:tcPr>
            <w:tcW w:w="1176" w:type="dxa"/>
            <w:shd w:val="clear" w:color="auto" w:fill="FFFFFF"/>
          </w:tcPr>
          <w:p w:rsidR="00735111" w:rsidRPr="00735111" w:rsidRDefault="00735111" w:rsidP="00BF6868">
            <w:pPr>
              <w:jc w:val="center"/>
              <w:rPr>
                <w:rFonts w:ascii="Times New Roman" w:eastAsia="Times New Roman" w:hAnsi="Times New Roman" w:cs="Times New Roman"/>
                <w:sz w:val="24"/>
                <w:szCs w:val="24"/>
                <w:highlight w:val="lightGray"/>
                <w:lang w:eastAsia="ru-RU"/>
              </w:rPr>
            </w:pPr>
            <w:r w:rsidRPr="00735111">
              <w:rPr>
                <w:rFonts w:ascii="Times New Roman" w:eastAsia="Times New Roman" w:hAnsi="Times New Roman" w:cs="Times New Roman"/>
                <w:sz w:val="24"/>
                <w:szCs w:val="24"/>
                <w:lang w:eastAsia="ru-RU"/>
              </w:rPr>
              <w:t>2019</w:t>
            </w:r>
          </w:p>
        </w:tc>
        <w:tc>
          <w:tcPr>
            <w:tcW w:w="1411"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2020-2022</w:t>
            </w:r>
          </w:p>
        </w:tc>
        <w:tc>
          <w:tcPr>
            <w:tcW w:w="3402"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 xml:space="preserve">Постановление исполнительного комитета Буинского муниципального района № 363/ик-п </w:t>
            </w:r>
          </w:p>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28.08.2019</w:t>
            </w:r>
          </w:p>
        </w:tc>
      </w:tr>
      <w:tr w:rsidR="00735111" w:rsidRPr="00735111" w:rsidTr="00735111">
        <w:tc>
          <w:tcPr>
            <w:tcW w:w="594"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4</w:t>
            </w:r>
          </w:p>
        </w:tc>
        <w:tc>
          <w:tcPr>
            <w:tcW w:w="3618" w:type="dxa"/>
          </w:tcPr>
          <w:p w:rsidR="00735111" w:rsidRPr="00735111" w:rsidRDefault="00735111" w:rsidP="00735111">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комплексная программа «Охрана окружающей среды в Буинском муниципальном районе на 2020-2022 год»</w:t>
            </w:r>
          </w:p>
        </w:tc>
        <w:tc>
          <w:tcPr>
            <w:tcW w:w="1176"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w:t>
            </w:r>
          </w:p>
        </w:tc>
        <w:tc>
          <w:tcPr>
            <w:tcW w:w="1411"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2020-2022</w:t>
            </w:r>
          </w:p>
        </w:tc>
        <w:tc>
          <w:tcPr>
            <w:tcW w:w="3402"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 xml:space="preserve">Постановление исполнительного комитета Буинского муниципального района № 389/ик-п </w:t>
            </w:r>
          </w:p>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17.09.2019</w:t>
            </w:r>
          </w:p>
        </w:tc>
      </w:tr>
      <w:tr w:rsidR="00735111" w:rsidRPr="00735111" w:rsidTr="00735111">
        <w:tc>
          <w:tcPr>
            <w:tcW w:w="594"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5</w:t>
            </w:r>
          </w:p>
        </w:tc>
        <w:tc>
          <w:tcPr>
            <w:tcW w:w="3618"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целевая программа «Развитие образования в Буинском муниципальном районе на 2019-2023 год»</w:t>
            </w:r>
          </w:p>
        </w:tc>
        <w:tc>
          <w:tcPr>
            <w:tcW w:w="1176" w:type="dxa"/>
            <w:shd w:val="clear" w:color="auto" w:fill="FFFFFF"/>
          </w:tcPr>
          <w:p w:rsidR="00735111" w:rsidRPr="00735111" w:rsidRDefault="00735111" w:rsidP="00BF6868">
            <w:pPr>
              <w:jc w:val="center"/>
              <w:rPr>
                <w:rFonts w:ascii="Times New Roman" w:eastAsia="Times New Roman" w:hAnsi="Times New Roman" w:cs="Times New Roman"/>
                <w:sz w:val="24"/>
                <w:szCs w:val="24"/>
                <w:highlight w:val="lightGray"/>
                <w:lang w:eastAsia="ru-RU"/>
              </w:rPr>
            </w:pPr>
            <w:r w:rsidRPr="00735111">
              <w:rPr>
                <w:rFonts w:ascii="Times New Roman" w:eastAsia="Times New Roman" w:hAnsi="Times New Roman" w:cs="Times New Roman"/>
                <w:sz w:val="24"/>
                <w:szCs w:val="24"/>
                <w:lang w:eastAsia="ru-RU"/>
              </w:rPr>
              <w:t>2019</w:t>
            </w:r>
          </w:p>
        </w:tc>
        <w:tc>
          <w:tcPr>
            <w:tcW w:w="1411" w:type="dxa"/>
          </w:tcPr>
          <w:p w:rsidR="00735111" w:rsidRPr="00735111" w:rsidRDefault="00735111" w:rsidP="00BF6868">
            <w:pPr>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2019-2023</w:t>
            </w:r>
          </w:p>
        </w:tc>
        <w:tc>
          <w:tcPr>
            <w:tcW w:w="3402" w:type="dxa"/>
          </w:tcPr>
          <w:p w:rsidR="00735111" w:rsidRPr="00735111" w:rsidRDefault="00735111" w:rsidP="00BF6868">
            <w:pP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 xml:space="preserve">Постановление исполнительного комитета Буинского муниципального района  № 40а/ ИК-п от 11.02.2019 </w:t>
            </w:r>
          </w:p>
        </w:tc>
      </w:tr>
    </w:tbl>
    <w:tbl>
      <w:tblPr>
        <w:tblpPr w:leftFromText="180" w:rightFromText="180" w:vertAnchor="page" w:horzAnchor="margin" w:tblpY="529"/>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
        <w:gridCol w:w="3666"/>
        <w:gridCol w:w="1281"/>
        <w:gridCol w:w="1129"/>
        <w:gridCol w:w="3543"/>
      </w:tblGrid>
      <w:tr w:rsidR="00735111" w:rsidRPr="00735111" w:rsidTr="00735111">
        <w:trPr>
          <w:trHeight w:val="1266"/>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lastRenderedPageBreak/>
              <w:t>6</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 xml:space="preserve">Комплексная программа Буинского муниципального района по профилактике правонарушений на 2017-2020 годы» </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2016</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2017-2020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405-п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08.09.2016</w:t>
            </w:r>
          </w:p>
        </w:tc>
      </w:tr>
      <w:tr w:rsidR="00735111" w:rsidRPr="00735111" w:rsidTr="00735111">
        <w:trPr>
          <w:trHeight w:val="1293"/>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7</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«Патриотическое воспитание детей и молодежи Буинского муниципального района на 2018-2020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2017</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2018-2020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393-п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25.09.2017</w:t>
            </w:r>
          </w:p>
        </w:tc>
      </w:tr>
      <w:tr w:rsidR="00735111" w:rsidRPr="00735111" w:rsidTr="00735111">
        <w:trPr>
          <w:trHeight w:val="1326"/>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8</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профилактики наркомании среди населения в  Буинском муниципальном районе на 2018-2020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2017</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2018-2020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390-п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22.09.2017</w:t>
            </w:r>
          </w:p>
        </w:tc>
      </w:tr>
      <w:tr w:rsidR="00735111" w:rsidRPr="00735111" w:rsidTr="00735111">
        <w:trPr>
          <w:trHeight w:val="1347"/>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9</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«Повышение качества услуг учреждений культуры Буинского муниципального района на 2015-2020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2014</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2015-2020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642-п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30.12.2014</w:t>
            </w:r>
          </w:p>
        </w:tc>
      </w:tr>
      <w:tr w:rsidR="00735111" w:rsidRPr="00735111" w:rsidTr="00735111">
        <w:trPr>
          <w:trHeight w:val="1274"/>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10</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реализации государственной национальной политики на 2014-2020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2014</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2014-2020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495-п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29.10.2014</w:t>
            </w:r>
          </w:p>
        </w:tc>
      </w:tr>
      <w:tr w:rsidR="00735111" w:rsidRPr="00735111" w:rsidTr="00735111">
        <w:trPr>
          <w:trHeight w:val="1401"/>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11</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«Профилактика терроризма и экстремизма на территории  Буинского муниципального района на 2018-2020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2017</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2018-2020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416-п от 05.10.2017</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p>
        </w:tc>
      </w:tr>
      <w:tr w:rsidR="00735111" w:rsidRPr="00735111" w:rsidTr="00735111">
        <w:trPr>
          <w:trHeight w:val="1278"/>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12</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по формированию здорового образа жизни среди населения Буинского муниципального района на  2016-2020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2015</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2016-2020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613-п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03.12.2015</w:t>
            </w:r>
          </w:p>
        </w:tc>
      </w:tr>
      <w:tr w:rsidR="00735111" w:rsidRPr="00735111" w:rsidTr="00735111">
        <w:trPr>
          <w:trHeight w:val="1299"/>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13</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«Развитие физической культуры и спорта в  Буинском муниципальном районе РТ на 2020-2023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2020-2023</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400/ик-п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24.09.2019</w:t>
            </w:r>
          </w:p>
        </w:tc>
      </w:tr>
      <w:tr w:rsidR="00735111" w:rsidRPr="00735111" w:rsidTr="00735111">
        <w:trPr>
          <w:trHeight w:val="1191"/>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14</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Районная программа «Сельская молодежь Буинского муниципального района на 2016-2020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2015</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2016-2020</w:t>
            </w:r>
          </w:p>
        </w:tc>
        <w:tc>
          <w:tcPr>
            <w:tcW w:w="3543" w:type="dxa"/>
          </w:tcPr>
          <w:p w:rsidR="00735111" w:rsidRPr="00735111" w:rsidRDefault="00735111" w:rsidP="00735111">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612-п</w:t>
            </w:r>
            <w:r>
              <w:rPr>
                <w:rFonts w:ascii="Times New Roman" w:eastAsia="Times New Roman" w:hAnsi="Times New Roman" w:cs="Times New Roman"/>
                <w:sz w:val="24"/>
                <w:szCs w:val="24"/>
                <w:lang w:eastAsia="ru-RU"/>
              </w:rPr>
              <w:t xml:space="preserve"> </w:t>
            </w:r>
            <w:r w:rsidRPr="00735111">
              <w:rPr>
                <w:rFonts w:ascii="Times New Roman" w:eastAsia="Times New Roman" w:hAnsi="Times New Roman" w:cs="Times New Roman"/>
                <w:sz w:val="24"/>
                <w:szCs w:val="24"/>
                <w:lang w:eastAsia="ru-RU"/>
              </w:rPr>
              <w:t>от 03.12.2015</w:t>
            </w:r>
          </w:p>
        </w:tc>
      </w:tr>
      <w:tr w:rsidR="00735111" w:rsidRPr="00735111" w:rsidTr="00735111">
        <w:trPr>
          <w:trHeight w:val="1637"/>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15</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целевая программа «Пожарная безопасность Буинского муниципального района РТ на 2020-2022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2020-2022</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406/ик-п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27.09.2019</w:t>
            </w:r>
          </w:p>
        </w:tc>
      </w:tr>
      <w:tr w:rsidR="00735111" w:rsidRPr="00735111" w:rsidTr="00735111">
        <w:trPr>
          <w:trHeight w:val="1263"/>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lastRenderedPageBreak/>
              <w:t>16</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целевая программа «Пожарная безопасность Буинского муниципального района РТ на 2017-2019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2020-2022</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550/ик-п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12.12.2016</w:t>
            </w:r>
          </w:p>
        </w:tc>
      </w:tr>
      <w:tr w:rsidR="00735111" w:rsidRPr="00735111" w:rsidTr="00735111">
        <w:trPr>
          <w:trHeight w:val="2748"/>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17</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целевая программа «Об утверждении программы развития системы видеонаблюдения в рамках реализации сегмента  аппаратно-программного комплекса «Безопасный город» на территории Буинского муниципального района РТ на 2017-2021годы»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2016</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2017-2021</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604-п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30.12.2016г.</w:t>
            </w:r>
          </w:p>
        </w:tc>
      </w:tr>
      <w:tr w:rsidR="00735111" w:rsidRPr="00735111" w:rsidTr="00735111">
        <w:trPr>
          <w:trHeight w:val="1365"/>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18</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Целевая программа развития и поддержки малого и среднего предпринимательства в Буинском муниципальном районе  на 2019-2023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2019-2023</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254/ик-п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06.06.2019</w:t>
            </w:r>
          </w:p>
        </w:tc>
      </w:tr>
      <w:tr w:rsidR="00735111" w:rsidRPr="00735111" w:rsidTr="00735111">
        <w:trPr>
          <w:trHeight w:val="1649"/>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19</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val="tt-RU" w:eastAsia="ru-RU"/>
              </w:rPr>
            </w:pPr>
            <w:r w:rsidRPr="00735111">
              <w:rPr>
                <w:rFonts w:ascii="Times New Roman" w:eastAsia="Times New Roman" w:hAnsi="Times New Roman" w:cs="Times New Roman"/>
                <w:sz w:val="24"/>
                <w:szCs w:val="24"/>
                <w:lang w:eastAsia="ru-RU"/>
              </w:rPr>
              <w:t xml:space="preserve">Муниципальная целевая программа «Поддержка социально-ориентированных некоммерческих организаций в Буинском муниципальном районе на 2016-2020 годы» </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val="tt-RU" w:eastAsia="ru-RU"/>
              </w:rPr>
            </w:pPr>
            <w:r w:rsidRPr="00735111">
              <w:rPr>
                <w:rFonts w:ascii="Times New Roman" w:eastAsia="Times New Roman" w:hAnsi="Times New Roman" w:cs="Times New Roman"/>
                <w:sz w:val="24"/>
                <w:szCs w:val="24"/>
                <w:lang w:val="tt-RU" w:eastAsia="ru-RU"/>
              </w:rPr>
              <w:t>2016</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val="tt-RU" w:eastAsia="ru-RU"/>
              </w:rPr>
            </w:pPr>
            <w:r w:rsidRPr="00735111">
              <w:rPr>
                <w:rFonts w:ascii="Times New Roman" w:eastAsia="Times New Roman" w:hAnsi="Times New Roman" w:cs="Times New Roman"/>
                <w:sz w:val="24"/>
                <w:szCs w:val="24"/>
                <w:lang w:val="tt-RU" w:eastAsia="ru-RU"/>
              </w:rPr>
              <w:t>2016-2020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82-п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29.02.2016</w:t>
            </w:r>
          </w:p>
        </w:tc>
      </w:tr>
      <w:tr w:rsidR="00735111" w:rsidRPr="00735111" w:rsidTr="00735111">
        <w:trPr>
          <w:trHeight w:val="1139"/>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Русский язык в Буинском муниципальном районе на 2016-2020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2017</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val="tt-RU" w:eastAsia="ru-RU"/>
              </w:rPr>
            </w:pPr>
            <w:r w:rsidRPr="00735111">
              <w:rPr>
                <w:rFonts w:ascii="Times New Roman" w:eastAsia="Times New Roman" w:hAnsi="Times New Roman" w:cs="Times New Roman"/>
                <w:sz w:val="24"/>
                <w:szCs w:val="24"/>
                <w:lang w:val="tt-RU" w:eastAsia="ru-RU"/>
              </w:rPr>
              <w:t>2016-2020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147-п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19.04.2017</w:t>
            </w:r>
          </w:p>
        </w:tc>
      </w:tr>
      <w:tr w:rsidR="00735111" w:rsidRPr="00735111" w:rsidTr="00735111">
        <w:trPr>
          <w:trHeight w:val="824"/>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21</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 дорожных работах на дорогах общего пользования местного значения  Буинского муниципального района  на 2020 год</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2019</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val="tt-RU" w:eastAsia="ru-RU"/>
              </w:rPr>
            </w:pPr>
            <w:r w:rsidRPr="00735111">
              <w:rPr>
                <w:rFonts w:ascii="Times New Roman" w:eastAsia="Times New Roman" w:hAnsi="Times New Roman" w:cs="Times New Roman"/>
                <w:sz w:val="24"/>
                <w:szCs w:val="24"/>
                <w:lang w:val="tt-RU" w:eastAsia="ru-RU"/>
              </w:rPr>
              <w:t>2020</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434/ик-п</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От 16.10.2019</w:t>
            </w:r>
          </w:p>
        </w:tc>
      </w:tr>
      <w:tr w:rsidR="00735111" w:rsidRPr="00735111" w:rsidTr="00735111">
        <w:trPr>
          <w:trHeight w:val="1193"/>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22</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Развитие  здоровьесбережения в системе образования Бунского  муниципального района на 2018-2021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2017</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val="tt-RU" w:eastAsia="ru-RU"/>
              </w:rPr>
            </w:pPr>
            <w:r w:rsidRPr="00735111">
              <w:rPr>
                <w:rFonts w:ascii="Times New Roman" w:eastAsia="Times New Roman" w:hAnsi="Times New Roman" w:cs="Times New Roman"/>
                <w:sz w:val="24"/>
                <w:szCs w:val="24"/>
                <w:lang w:val="tt-RU" w:eastAsia="ru-RU"/>
              </w:rPr>
              <w:t>2018-2021</w:t>
            </w:r>
          </w:p>
        </w:tc>
        <w:tc>
          <w:tcPr>
            <w:tcW w:w="3543" w:type="dxa"/>
          </w:tcPr>
          <w:p w:rsidR="00735111" w:rsidRPr="00735111" w:rsidRDefault="00735111" w:rsidP="00735111">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 466-п  от 13.11.2017</w:t>
            </w:r>
          </w:p>
        </w:tc>
      </w:tr>
      <w:tr w:rsidR="00735111" w:rsidRPr="00735111" w:rsidTr="00735111">
        <w:trPr>
          <w:trHeight w:val="1637"/>
        </w:trPr>
        <w:tc>
          <w:tcPr>
            <w:tcW w:w="587"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23</w:t>
            </w:r>
          </w:p>
        </w:tc>
        <w:tc>
          <w:tcPr>
            <w:tcW w:w="3666"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Муниципальная программа «Формирование современной городской среды на территории городской среды на территории Буинского муниципального района РТ на 2018-2022 годы»</w:t>
            </w:r>
          </w:p>
        </w:tc>
        <w:tc>
          <w:tcPr>
            <w:tcW w:w="1281"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2017</w:t>
            </w:r>
          </w:p>
        </w:tc>
        <w:tc>
          <w:tcPr>
            <w:tcW w:w="1129" w:type="dxa"/>
          </w:tcPr>
          <w:p w:rsidR="00735111" w:rsidRPr="00735111" w:rsidRDefault="00735111" w:rsidP="00BF6868">
            <w:pPr>
              <w:spacing w:after="0" w:line="240" w:lineRule="auto"/>
              <w:jc w:val="center"/>
              <w:rPr>
                <w:rFonts w:ascii="Times New Roman" w:eastAsia="Times New Roman" w:hAnsi="Times New Roman" w:cs="Times New Roman"/>
                <w:sz w:val="24"/>
                <w:szCs w:val="24"/>
                <w:lang w:val="tt-RU" w:eastAsia="ru-RU"/>
              </w:rPr>
            </w:pPr>
            <w:r w:rsidRPr="00735111">
              <w:rPr>
                <w:rFonts w:ascii="Times New Roman" w:eastAsia="Times New Roman" w:hAnsi="Times New Roman" w:cs="Times New Roman"/>
                <w:sz w:val="24"/>
                <w:szCs w:val="24"/>
                <w:lang w:val="tt-RU" w:eastAsia="ru-RU"/>
              </w:rPr>
              <w:t>2018-2022</w:t>
            </w:r>
          </w:p>
        </w:tc>
        <w:tc>
          <w:tcPr>
            <w:tcW w:w="3543" w:type="dxa"/>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№522-п   от 20.12.2017</w:t>
            </w:r>
          </w:p>
        </w:tc>
      </w:tr>
      <w:tr w:rsidR="00735111" w:rsidRPr="00735111" w:rsidTr="00735111">
        <w:trPr>
          <w:trHeight w:val="1923"/>
        </w:trPr>
        <w:tc>
          <w:tcPr>
            <w:tcW w:w="587" w:type="dxa"/>
            <w:tcBorders>
              <w:bottom w:val="single" w:sz="4" w:space="0" w:color="000000"/>
            </w:tcBorders>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lastRenderedPageBreak/>
              <w:t>24</w:t>
            </w:r>
          </w:p>
        </w:tc>
        <w:tc>
          <w:tcPr>
            <w:tcW w:w="3666" w:type="dxa"/>
            <w:tcBorders>
              <w:bottom w:val="single" w:sz="4" w:space="0" w:color="000000"/>
            </w:tcBorders>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Программа развития малого и среднего предпринимательства в Буинском муниципальном районе Республики Татарстан на 2019-2023 гг</w:t>
            </w:r>
          </w:p>
        </w:tc>
        <w:tc>
          <w:tcPr>
            <w:tcW w:w="1281" w:type="dxa"/>
            <w:tcBorders>
              <w:bottom w:val="single" w:sz="4" w:space="0" w:color="000000"/>
            </w:tcBorders>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 xml:space="preserve">     2019</w:t>
            </w:r>
          </w:p>
        </w:tc>
        <w:tc>
          <w:tcPr>
            <w:tcW w:w="1129" w:type="dxa"/>
            <w:tcBorders>
              <w:bottom w:val="single" w:sz="4" w:space="0" w:color="000000"/>
            </w:tcBorders>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201-2023</w:t>
            </w:r>
          </w:p>
        </w:tc>
        <w:tc>
          <w:tcPr>
            <w:tcW w:w="3543" w:type="dxa"/>
            <w:tcBorders>
              <w:bottom w:val="single" w:sz="4" w:space="0" w:color="000000"/>
            </w:tcBorders>
          </w:tcPr>
          <w:p w:rsidR="00735111" w:rsidRPr="00735111" w:rsidRDefault="00735111" w:rsidP="00BF6868">
            <w:pPr>
              <w:spacing w:after="0" w:line="240" w:lineRule="auto"/>
              <w:rPr>
                <w:rFonts w:ascii="Times New Roman" w:eastAsia="Times New Roman" w:hAnsi="Times New Roman" w:cs="Times New Roman"/>
                <w:sz w:val="24"/>
                <w:szCs w:val="24"/>
                <w:lang w:eastAsia="ru-RU"/>
              </w:rPr>
            </w:pPr>
            <w:r w:rsidRPr="00735111">
              <w:rPr>
                <w:rFonts w:ascii="Times New Roman" w:eastAsia="Times New Roman" w:hAnsi="Times New Roman" w:cs="Times New Roman"/>
                <w:sz w:val="24"/>
                <w:szCs w:val="24"/>
                <w:lang w:eastAsia="ru-RU"/>
              </w:rPr>
              <w:t>Постановление исполнительного комитета Буинского муниципального района №245/ик-п   от 06.06.2019</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p>
        </w:tc>
      </w:tr>
      <w:tr w:rsidR="00735111" w:rsidRPr="00735111" w:rsidTr="00735111">
        <w:trPr>
          <w:trHeight w:val="1923"/>
        </w:trPr>
        <w:tc>
          <w:tcPr>
            <w:tcW w:w="10206" w:type="dxa"/>
            <w:gridSpan w:val="5"/>
            <w:tcBorders>
              <w:left w:val="nil"/>
              <w:bottom w:val="nil"/>
              <w:right w:val="nil"/>
            </w:tcBorders>
          </w:tcPr>
          <w:p w:rsidR="00735111" w:rsidRPr="00735111" w:rsidRDefault="00735111" w:rsidP="00BF6868">
            <w:pPr>
              <w:spacing w:after="0" w:line="240" w:lineRule="auto"/>
              <w:ind w:firstLine="596"/>
              <w:jc w:val="both"/>
              <w:rPr>
                <w:rFonts w:ascii="Times New Roman" w:eastAsia="Times New Roman" w:hAnsi="Times New Roman" w:cs="Times New Roman"/>
                <w:sz w:val="24"/>
                <w:szCs w:val="24"/>
                <w:lang w:eastAsia="ru-RU"/>
              </w:rPr>
            </w:pPr>
          </w:p>
          <w:p w:rsidR="00735111" w:rsidRPr="00735111" w:rsidRDefault="00735111" w:rsidP="00735111">
            <w:pPr>
              <w:spacing w:after="0" w:line="240" w:lineRule="auto"/>
              <w:ind w:firstLine="743"/>
              <w:jc w:val="both"/>
              <w:rPr>
                <w:rFonts w:ascii="Times New Roman" w:eastAsia="Times New Roman" w:hAnsi="Times New Roman" w:cs="Times New Roman"/>
                <w:sz w:val="28"/>
                <w:szCs w:val="28"/>
                <w:lang w:eastAsia="ru-RU"/>
              </w:rPr>
            </w:pPr>
            <w:r w:rsidRPr="00735111">
              <w:rPr>
                <w:rFonts w:ascii="Times New Roman" w:eastAsia="Times New Roman" w:hAnsi="Times New Roman" w:cs="Times New Roman"/>
                <w:sz w:val="28"/>
                <w:szCs w:val="28"/>
                <w:lang w:eastAsia="ru-RU"/>
              </w:rPr>
              <w:t xml:space="preserve">2.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735111" w:rsidRPr="00735111" w:rsidRDefault="00735111" w:rsidP="00735111">
            <w:pPr>
              <w:spacing w:after="0" w:line="240" w:lineRule="auto"/>
              <w:ind w:firstLine="743"/>
              <w:jc w:val="both"/>
              <w:rPr>
                <w:rFonts w:ascii="Times New Roman" w:eastAsia="Times New Roman" w:hAnsi="Times New Roman" w:cs="Times New Roman"/>
                <w:sz w:val="28"/>
                <w:szCs w:val="28"/>
                <w:lang w:eastAsia="ru-RU"/>
              </w:rPr>
            </w:pPr>
            <w:r w:rsidRPr="00735111">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rsidR="00735111" w:rsidRPr="00735111" w:rsidRDefault="00735111" w:rsidP="00735111">
            <w:pPr>
              <w:spacing w:after="0" w:line="240" w:lineRule="auto"/>
              <w:ind w:firstLine="743"/>
              <w:jc w:val="both"/>
              <w:rPr>
                <w:rFonts w:ascii="Times New Roman" w:eastAsia="Times New Roman" w:hAnsi="Times New Roman" w:cs="Times New Roman"/>
                <w:sz w:val="28"/>
                <w:szCs w:val="28"/>
                <w:lang w:eastAsia="ru-RU"/>
              </w:rPr>
            </w:pPr>
          </w:p>
          <w:p w:rsidR="00735111" w:rsidRPr="00735111" w:rsidRDefault="00735111" w:rsidP="00735111">
            <w:pPr>
              <w:spacing w:after="0" w:line="240" w:lineRule="auto"/>
              <w:ind w:firstLine="743"/>
              <w:jc w:val="both"/>
              <w:rPr>
                <w:rFonts w:ascii="Times New Roman" w:eastAsia="Times New Roman" w:hAnsi="Times New Roman" w:cs="Times New Roman"/>
                <w:sz w:val="28"/>
                <w:szCs w:val="28"/>
                <w:lang w:eastAsia="ru-RU"/>
              </w:rPr>
            </w:pPr>
          </w:p>
          <w:p w:rsidR="00735111" w:rsidRPr="00735111" w:rsidRDefault="00735111" w:rsidP="00735111">
            <w:pPr>
              <w:spacing w:after="0" w:line="240" w:lineRule="auto"/>
              <w:jc w:val="both"/>
              <w:rPr>
                <w:rFonts w:ascii="Times New Roman" w:eastAsia="Times New Roman" w:hAnsi="Times New Roman" w:cs="Times New Roman"/>
                <w:sz w:val="28"/>
                <w:szCs w:val="28"/>
                <w:lang w:eastAsia="ru-RU"/>
              </w:rPr>
            </w:pPr>
            <w:r w:rsidRPr="00735111">
              <w:rPr>
                <w:rFonts w:ascii="Times New Roman" w:eastAsia="Times New Roman" w:hAnsi="Times New Roman" w:cs="Times New Roman"/>
                <w:sz w:val="28"/>
                <w:szCs w:val="28"/>
                <w:lang w:eastAsia="ru-RU"/>
              </w:rPr>
              <w:t xml:space="preserve">Первый заместитель главы </w:t>
            </w:r>
          </w:p>
          <w:p w:rsidR="00735111" w:rsidRDefault="00735111" w:rsidP="00735111">
            <w:pPr>
              <w:spacing w:after="0" w:line="240" w:lineRule="auto"/>
              <w:jc w:val="both"/>
              <w:rPr>
                <w:rFonts w:ascii="Times New Roman" w:eastAsia="Times New Roman" w:hAnsi="Times New Roman" w:cs="Times New Roman"/>
                <w:sz w:val="28"/>
                <w:szCs w:val="28"/>
                <w:lang w:eastAsia="ru-RU"/>
              </w:rPr>
            </w:pPr>
            <w:r w:rsidRPr="00735111">
              <w:rPr>
                <w:rFonts w:ascii="Times New Roman" w:eastAsia="Times New Roman" w:hAnsi="Times New Roman" w:cs="Times New Roman"/>
                <w:sz w:val="28"/>
                <w:szCs w:val="28"/>
                <w:lang w:eastAsia="ru-RU"/>
              </w:rPr>
              <w:t>Буинского муниципального района</w:t>
            </w:r>
            <w:r>
              <w:rPr>
                <w:rFonts w:ascii="Times New Roman" w:eastAsia="Times New Roman" w:hAnsi="Times New Roman" w:cs="Times New Roman"/>
                <w:sz w:val="28"/>
                <w:szCs w:val="28"/>
                <w:lang w:eastAsia="ru-RU"/>
              </w:rPr>
              <w:t>,</w:t>
            </w:r>
          </w:p>
          <w:p w:rsidR="00735111" w:rsidRPr="00735111" w:rsidRDefault="00735111" w:rsidP="007351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председателя Совета</w:t>
            </w:r>
            <w:r w:rsidRPr="00735111">
              <w:rPr>
                <w:rFonts w:ascii="Times New Roman" w:eastAsia="Times New Roman" w:hAnsi="Times New Roman" w:cs="Times New Roman"/>
                <w:sz w:val="28"/>
                <w:szCs w:val="28"/>
                <w:lang w:eastAsia="ru-RU"/>
              </w:rPr>
              <w:t xml:space="preserve">                                                      И.Ф. Еремеев</w:t>
            </w:r>
          </w:p>
          <w:p w:rsidR="00735111" w:rsidRPr="00735111" w:rsidRDefault="00735111" w:rsidP="00BF6868">
            <w:pPr>
              <w:spacing w:after="0" w:line="240" w:lineRule="auto"/>
              <w:rPr>
                <w:rFonts w:ascii="Times New Roman" w:eastAsia="Times New Roman" w:hAnsi="Times New Roman" w:cs="Times New Roman"/>
                <w:sz w:val="24"/>
                <w:szCs w:val="24"/>
                <w:lang w:eastAsia="ru-RU"/>
              </w:rPr>
            </w:pPr>
          </w:p>
        </w:tc>
      </w:tr>
    </w:tbl>
    <w:p w:rsidR="00735111" w:rsidRDefault="00735111" w:rsidP="00DD025B">
      <w:pPr>
        <w:spacing w:after="0" w:line="276" w:lineRule="auto"/>
        <w:jc w:val="center"/>
        <w:rPr>
          <w:rFonts w:ascii="Times New Roman" w:eastAsia="Times New Roman" w:hAnsi="Times New Roman" w:cs="Times New Roman"/>
          <w:sz w:val="28"/>
          <w:szCs w:val="28"/>
          <w:lang w:eastAsia="ru-RU"/>
        </w:rPr>
      </w:pPr>
    </w:p>
    <w:sectPr w:rsidR="00735111" w:rsidSect="00F243F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AF" w:rsidRDefault="00135DAF" w:rsidP="0011308C">
      <w:pPr>
        <w:spacing w:after="0" w:line="240" w:lineRule="auto"/>
      </w:pPr>
      <w:r>
        <w:separator/>
      </w:r>
    </w:p>
  </w:endnote>
  <w:endnote w:type="continuationSeparator" w:id="0">
    <w:p w:rsidR="00135DAF" w:rsidRDefault="00135DAF" w:rsidP="0011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AF" w:rsidRDefault="00135DAF" w:rsidP="0011308C">
      <w:pPr>
        <w:spacing w:after="0" w:line="240" w:lineRule="auto"/>
      </w:pPr>
      <w:r>
        <w:separator/>
      </w:r>
    </w:p>
  </w:footnote>
  <w:footnote w:type="continuationSeparator" w:id="0">
    <w:p w:rsidR="00135DAF" w:rsidRDefault="00135DAF" w:rsidP="00113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24A1A"/>
    <w:multiLevelType w:val="hybridMultilevel"/>
    <w:tmpl w:val="AAE0E8D2"/>
    <w:lvl w:ilvl="0" w:tplc="F2124F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CC2038D"/>
    <w:multiLevelType w:val="hybridMultilevel"/>
    <w:tmpl w:val="752E0004"/>
    <w:lvl w:ilvl="0" w:tplc="F2124F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28"/>
    <w:rsid w:val="00025EC6"/>
    <w:rsid w:val="000B5DBC"/>
    <w:rsid w:val="0011308C"/>
    <w:rsid w:val="00135DAF"/>
    <w:rsid w:val="00146FC0"/>
    <w:rsid w:val="001856EE"/>
    <w:rsid w:val="001C3E8D"/>
    <w:rsid w:val="001D5A01"/>
    <w:rsid w:val="001E2B6E"/>
    <w:rsid w:val="00284E6D"/>
    <w:rsid w:val="002F5D28"/>
    <w:rsid w:val="00393BC9"/>
    <w:rsid w:val="005F13EB"/>
    <w:rsid w:val="00630FF3"/>
    <w:rsid w:val="00724D67"/>
    <w:rsid w:val="00735111"/>
    <w:rsid w:val="00867B12"/>
    <w:rsid w:val="009213C6"/>
    <w:rsid w:val="009D6C71"/>
    <w:rsid w:val="009F787F"/>
    <w:rsid w:val="00A349A2"/>
    <w:rsid w:val="00CF3C53"/>
    <w:rsid w:val="00D56592"/>
    <w:rsid w:val="00D62A83"/>
    <w:rsid w:val="00D7676A"/>
    <w:rsid w:val="00DD025B"/>
    <w:rsid w:val="00DD42AA"/>
    <w:rsid w:val="00E332CE"/>
    <w:rsid w:val="00EF7003"/>
    <w:rsid w:val="00F243F5"/>
    <w:rsid w:val="00F50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C9D6C7-9272-47A8-9FD0-D3ED2DE2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D28"/>
    <w:pPr>
      <w:ind w:left="720"/>
      <w:contextualSpacing/>
    </w:pPr>
  </w:style>
  <w:style w:type="table" w:styleId="a4">
    <w:name w:val="Table Grid"/>
    <w:basedOn w:val="a1"/>
    <w:uiPriority w:val="39"/>
    <w:rsid w:val="00DD0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130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308C"/>
  </w:style>
  <w:style w:type="paragraph" w:styleId="a7">
    <w:name w:val="footer"/>
    <w:basedOn w:val="a"/>
    <w:link w:val="a8"/>
    <w:uiPriority w:val="99"/>
    <w:unhideWhenUsed/>
    <w:rsid w:val="001130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308C"/>
  </w:style>
  <w:style w:type="paragraph" w:styleId="a9">
    <w:name w:val="Balloon Text"/>
    <w:basedOn w:val="a"/>
    <w:link w:val="aa"/>
    <w:uiPriority w:val="99"/>
    <w:semiHidden/>
    <w:unhideWhenUsed/>
    <w:rsid w:val="007351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5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48;&#1083;&#1085;&#1072;&#1088;\Documents\Desktop\&#1086;&#1087;&#1090;&#1080;&#1084;&#1080;&#1079;&#1072;&#1094;&#1080;&#1103;%202015\&#1091;&#1095;&#1077;&#1085;&#1080;&#1082;%20&#1082;%20&#1091;&#1095;&#1080;&#1090;&#1077;&#1083;&#1102;%202014.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'[ученик к учителю 2014.xls]Лист1'!$B$1:$B$34</c:f>
              <c:strCache>
                <c:ptCount val="34"/>
                <c:pt idx="0">
                  <c:v>Гим.им.Вахитова</c:v>
                </c:pt>
                <c:pt idx="1">
                  <c:v>Шк.им.академика Сагъдеева</c:v>
                </c:pt>
                <c:pt idx="2">
                  <c:v>Школа №1</c:v>
                </c:pt>
                <c:pt idx="3">
                  <c:v>Лицей №2</c:v>
                </c:pt>
                <c:pt idx="4">
                  <c:v>Школа №5</c:v>
                </c:pt>
                <c:pt idx="5">
                  <c:v>Лицей -интернат для одаренных детей</c:v>
                </c:pt>
                <c:pt idx="6">
                  <c:v>Н.Тинчалинская</c:v>
                </c:pt>
                <c:pt idx="7">
                  <c:v>Ч.Кильдуразовская</c:v>
                </c:pt>
                <c:pt idx="8">
                  <c:v>Энтугановская</c:v>
                </c:pt>
                <c:pt idx="9">
                  <c:v>Ст.Студенецкая</c:v>
                </c:pt>
                <c:pt idx="10">
                  <c:v>Киятская</c:v>
                </c:pt>
                <c:pt idx="11">
                  <c:v>Альшеевская</c:v>
                </c:pt>
                <c:pt idx="12">
                  <c:v>Бюрганская</c:v>
                </c:pt>
                <c:pt idx="13">
                  <c:v>Рунгинская</c:v>
                </c:pt>
                <c:pt idx="14">
                  <c:v>Н.Чечкабская</c:v>
                </c:pt>
                <c:pt idx="15">
                  <c:v>Альшиховская</c:v>
                </c:pt>
                <c:pt idx="16">
                  <c:v>Ст.Тинчалинская</c:v>
                </c:pt>
                <c:pt idx="17">
                  <c:v>Протопоповская</c:v>
                </c:pt>
                <c:pt idx="18">
                  <c:v>Чув.Кищаковская</c:v>
                </c:pt>
                <c:pt idx="19">
                  <c:v>Ад.Тулумбаевская</c:v>
                </c:pt>
                <c:pt idx="20">
                  <c:v>В.Лащинская</c:v>
                </c:pt>
                <c:pt idx="21">
                  <c:v>Аксунская</c:v>
                </c:pt>
                <c:pt idx="22">
                  <c:v>Камбродская</c:v>
                </c:pt>
                <c:pt idx="23">
                  <c:v>К.Теняковская</c:v>
                </c:pt>
                <c:pt idx="24">
                  <c:v>Алькеевская</c:v>
                </c:pt>
                <c:pt idx="25">
                  <c:v>Бик-Утеевская</c:v>
                </c:pt>
                <c:pt idx="26">
                  <c:v>Мещеряковская</c:v>
                </c:pt>
                <c:pt idx="27">
                  <c:v>Нурлатская</c:v>
                </c:pt>
                <c:pt idx="28">
                  <c:v>Б.Фроловская</c:v>
                </c:pt>
                <c:pt idx="29">
                  <c:v>Раковская</c:v>
                </c:pt>
                <c:pt idx="30">
                  <c:v>С.Сайдаковская</c:v>
                </c:pt>
                <c:pt idx="31">
                  <c:v>Ч.Гришинская</c:v>
                </c:pt>
                <c:pt idx="32">
                  <c:v>Н.Наратбашская</c:v>
                </c:pt>
                <c:pt idx="33">
                  <c:v>Кайбицкая</c:v>
                </c:pt>
              </c:strCache>
            </c:strRef>
          </c:cat>
          <c:val>
            <c:numRef>
              <c:f>'[ученик к учителю 2014.xls]Лист1'!$C$1:$C$34</c:f>
              <c:numCache>
                <c:formatCode>General</c:formatCode>
                <c:ptCount val="34"/>
                <c:pt idx="0">
                  <c:v>13.4</c:v>
                </c:pt>
                <c:pt idx="1">
                  <c:v>13.76</c:v>
                </c:pt>
                <c:pt idx="2">
                  <c:v>16.579999999999988</c:v>
                </c:pt>
                <c:pt idx="3">
                  <c:v>14.69</c:v>
                </c:pt>
                <c:pt idx="4">
                  <c:v>12.350000000000026</c:v>
                </c:pt>
                <c:pt idx="5">
                  <c:v>12.350000000000026</c:v>
                </c:pt>
                <c:pt idx="6">
                  <c:v>5.33</c:v>
                </c:pt>
                <c:pt idx="7">
                  <c:v>4.28</c:v>
                </c:pt>
                <c:pt idx="8">
                  <c:v>4.4700000000000024</c:v>
                </c:pt>
                <c:pt idx="9">
                  <c:v>7.8199999999999985</c:v>
                </c:pt>
                <c:pt idx="10">
                  <c:v>6.6499999999999995</c:v>
                </c:pt>
                <c:pt idx="11">
                  <c:v>6.8199999999999985</c:v>
                </c:pt>
                <c:pt idx="12">
                  <c:v>5.74</c:v>
                </c:pt>
                <c:pt idx="13">
                  <c:v>5.5</c:v>
                </c:pt>
                <c:pt idx="14">
                  <c:v>4.8</c:v>
                </c:pt>
                <c:pt idx="15">
                  <c:v>6.4</c:v>
                </c:pt>
                <c:pt idx="16">
                  <c:v>4.67</c:v>
                </c:pt>
                <c:pt idx="17">
                  <c:v>4.5599999999999996</c:v>
                </c:pt>
                <c:pt idx="18">
                  <c:v>7.3599999999999985</c:v>
                </c:pt>
                <c:pt idx="19">
                  <c:v>6</c:v>
                </c:pt>
                <c:pt idx="20">
                  <c:v>4.6899999999999995</c:v>
                </c:pt>
                <c:pt idx="21">
                  <c:v>5.2700000000000014</c:v>
                </c:pt>
                <c:pt idx="22">
                  <c:v>3.77</c:v>
                </c:pt>
                <c:pt idx="23">
                  <c:v>5.64</c:v>
                </c:pt>
                <c:pt idx="24">
                  <c:v>3.67</c:v>
                </c:pt>
                <c:pt idx="25">
                  <c:v>4.75</c:v>
                </c:pt>
                <c:pt idx="26">
                  <c:v>6.8599999999999985</c:v>
                </c:pt>
                <c:pt idx="27">
                  <c:v>4.17</c:v>
                </c:pt>
                <c:pt idx="28">
                  <c:v>8</c:v>
                </c:pt>
                <c:pt idx="29">
                  <c:v>5.25</c:v>
                </c:pt>
                <c:pt idx="30">
                  <c:v>4.5599999999999996</c:v>
                </c:pt>
                <c:pt idx="31">
                  <c:v>4.63</c:v>
                </c:pt>
                <c:pt idx="32">
                  <c:v>7.1</c:v>
                </c:pt>
                <c:pt idx="33">
                  <c:v>3.67</c:v>
                </c:pt>
              </c:numCache>
            </c:numRef>
          </c:val>
        </c:ser>
        <c:dLbls>
          <c:showLegendKey val="0"/>
          <c:showVal val="0"/>
          <c:showCatName val="0"/>
          <c:showSerName val="0"/>
          <c:showPercent val="0"/>
          <c:showBubbleSize val="0"/>
        </c:dLbls>
        <c:gapWidth val="150"/>
        <c:axId val="202736024"/>
        <c:axId val="202736416"/>
      </c:barChart>
      <c:catAx>
        <c:axId val="202736024"/>
        <c:scaling>
          <c:orientation val="minMax"/>
        </c:scaling>
        <c:delete val="0"/>
        <c:axPos val="l"/>
        <c:numFmt formatCode="General" sourceLinked="0"/>
        <c:majorTickMark val="out"/>
        <c:minorTickMark val="none"/>
        <c:tickLblPos val="nextTo"/>
        <c:crossAx val="202736416"/>
        <c:crosses val="autoZero"/>
        <c:auto val="1"/>
        <c:lblAlgn val="ctr"/>
        <c:lblOffset val="100"/>
        <c:noMultiLvlLbl val="0"/>
      </c:catAx>
      <c:valAx>
        <c:axId val="202736416"/>
        <c:scaling>
          <c:orientation val="minMax"/>
        </c:scaling>
        <c:delete val="0"/>
        <c:axPos val="b"/>
        <c:majorGridlines/>
        <c:numFmt formatCode="General" sourceLinked="1"/>
        <c:majorTickMark val="out"/>
        <c:minorTickMark val="none"/>
        <c:tickLblPos val="nextTo"/>
        <c:crossAx val="202736024"/>
        <c:crosses val="autoZero"/>
        <c:crossBetween val="between"/>
      </c:valAx>
    </c:plotArea>
    <c:plotVisOnly val="1"/>
    <c:dispBlanksAs val="gap"/>
    <c:showDLblsOverMax val="0"/>
  </c:chart>
  <c:txPr>
    <a:bodyPr/>
    <a:lstStyle/>
    <a:p>
      <a:pPr>
        <a:defRPr sz="110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bar3DChart>
        <c:barDir val="col"/>
        <c:grouping val="stacked"/>
        <c:varyColors val="0"/>
        <c:ser>
          <c:idx val="0"/>
          <c:order val="0"/>
          <c:tx>
            <c:strRef>
              <c:f>Sheet1!$A$2</c:f>
              <c:strCache>
                <c:ptCount val="1"/>
                <c:pt idx="0">
                  <c:v>КРС</c:v>
                </c:pt>
              </c:strCache>
            </c:strRef>
          </c:tx>
          <c:spPr>
            <a:solidFill>
              <a:srgbClr val="99CC00"/>
            </a:solidFill>
            <a:ln w="12604">
              <a:solidFill>
                <a:srgbClr val="000000"/>
              </a:solidFill>
              <a:prstDash val="solid"/>
            </a:ln>
          </c:spPr>
          <c:invertIfNegative val="0"/>
          <c:dLbls>
            <c:dLbl>
              <c:idx val="0"/>
              <c:layout>
                <c:manualLayout>
                  <c:x val="1.3928569470111321E-2"/>
                  <c:y val="-0.37239596060120495"/>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1607141225092878E-2"/>
                  <c:y val="-0.37239596060120495"/>
                </c:manualLayout>
              </c:layout>
              <c:tx>
                <c:rich>
                  <a:bodyPr/>
                  <a:lstStyle/>
                  <a:p>
                    <a:pPr>
                      <a:defRPr/>
                    </a:pPr>
                    <a:r>
                      <a:rPr lang="en-US"/>
                      <a:t>24,8</a:t>
                    </a:r>
                  </a:p>
                </c:rich>
              </c:tx>
              <c:spPr/>
              <c:showLegendKey val="0"/>
              <c:showVal val="1"/>
              <c:showCatName val="0"/>
              <c:showSerName val="0"/>
              <c:showPercent val="0"/>
              <c:showBubbleSize val="0"/>
              <c:extLst>
                <c:ext xmlns:c15="http://schemas.microsoft.com/office/drawing/2012/chart" uri="{CE6537A1-D6FC-4f65-9D91-7224C49458BB}"/>
              </c:extLst>
            </c:dLbl>
            <c:dLbl>
              <c:idx val="2"/>
              <c:layout>
                <c:manualLayout>
                  <c:x val="9.285712980074105E-3"/>
                  <c:y val="-0.39496541275885727"/>
                </c:manualLayout>
              </c:layout>
              <c:tx>
                <c:rich>
                  <a:bodyPr/>
                  <a:lstStyle/>
                  <a:p>
                    <a:pPr>
                      <a:defRPr/>
                    </a:pPr>
                    <a:r>
                      <a:rPr lang="en-US"/>
                      <a:t>26,4</a:t>
                    </a:r>
                  </a:p>
                </c:rich>
              </c:tx>
              <c:spPr/>
              <c:showLegendKey val="0"/>
              <c:showVal val="1"/>
              <c:showCatName val="0"/>
              <c:showSerName val="0"/>
              <c:showPercent val="0"/>
              <c:showBubbleSize val="0"/>
              <c:extLst>
                <c:ext xmlns:c15="http://schemas.microsoft.com/office/drawing/2012/chart" uri="{CE6537A1-D6FC-4f65-9D91-7224C49458BB}"/>
              </c:extLst>
            </c:dLbl>
            <c:dLbl>
              <c:idx val="3"/>
              <c:layout>
                <c:manualLayout>
                  <c:x val="1.1607141225092881E-2"/>
                  <c:y val="-0.43446195403473381"/>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2015г.</c:v>
                </c:pt>
                <c:pt idx="1">
                  <c:v>2020г.</c:v>
                </c:pt>
                <c:pt idx="2">
                  <c:v>2025г.</c:v>
                </c:pt>
                <c:pt idx="3">
                  <c:v>2030г.</c:v>
                </c:pt>
              </c:strCache>
            </c:strRef>
          </c:cat>
          <c:val>
            <c:numRef>
              <c:f>Sheet1!$B$2:$E$2</c:f>
              <c:numCache>
                <c:formatCode>General</c:formatCode>
                <c:ptCount val="4"/>
                <c:pt idx="0">
                  <c:v>24</c:v>
                </c:pt>
                <c:pt idx="1">
                  <c:v>25.8</c:v>
                </c:pt>
                <c:pt idx="2">
                  <c:v>27.4</c:v>
                </c:pt>
                <c:pt idx="3">
                  <c:v>30</c:v>
                </c:pt>
              </c:numCache>
            </c:numRef>
          </c:val>
        </c:ser>
        <c:ser>
          <c:idx val="1"/>
          <c:order val="1"/>
          <c:tx>
            <c:strRef>
              <c:f>Sheet1!$A$3</c:f>
              <c:strCache>
                <c:ptCount val="1"/>
                <c:pt idx="0">
                  <c:v>в т.ч.коров</c:v>
                </c:pt>
              </c:strCache>
            </c:strRef>
          </c:tx>
          <c:spPr>
            <a:solidFill>
              <a:srgbClr val="993366"/>
            </a:solidFill>
            <a:ln w="12604">
              <a:solidFill>
                <a:srgbClr val="000000"/>
              </a:solidFill>
              <a:prstDash val="solid"/>
            </a:ln>
          </c:spPr>
          <c:invertIfNegative val="0"/>
          <c:cat>
            <c:strRef>
              <c:f>Sheet1!$B$1:$E$1</c:f>
              <c:strCache>
                <c:ptCount val="4"/>
                <c:pt idx="0">
                  <c:v>2015г.</c:v>
                </c:pt>
                <c:pt idx="1">
                  <c:v>2020г.</c:v>
                </c:pt>
                <c:pt idx="2">
                  <c:v>2025г.</c:v>
                </c:pt>
                <c:pt idx="3">
                  <c:v>2030г.</c:v>
                </c:pt>
              </c:strCache>
            </c:strRef>
          </c:cat>
          <c:val>
            <c:numRef>
              <c:f>Sheet1!$B$3:$E$3</c:f>
              <c:numCache>
                <c:formatCode>General</c:formatCode>
                <c:ptCount val="4"/>
              </c:numCache>
            </c:numRef>
          </c:val>
        </c:ser>
        <c:dLbls>
          <c:showLegendKey val="0"/>
          <c:showVal val="0"/>
          <c:showCatName val="0"/>
          <c:showSerName val="0"/>
          <c:showPercent val="0"/>
          <c:showBubbleSize val="0"/>
        </c:dLbls>
        <c:gapWidth val="150"/>
        <c:shape val="cylinder"/>
        <c:axId val="205632760"/>
        <c:axId val="205633152"/>
        <c:axId val="0"/>
      </c:bar3DChart>
      <c:catAx>
        <c:axId val="205632760"/>
        <c:scaling>
          <c:orientation val="minMax"/>
        </c:scaling>
        <c:delete val="0"/>
        <c:axPos val="b"/>
        <c:numFmt formatCode="General" sourceLinked="1"/>
        <c:majorTickMark val="out"/>
        <c:minorTickMark val="none"/>
        <c:tickLblPos val="low"/>
        <c:spPr>
          <a:ln w="3151">
            <a:solidFill>
              <a:srgbClr val="000000"/>
            </a:solidFill>
            <a:prstDash val="solid"/>
          </a:ln>
        </c:spPr>
        <c:txPr>
          <a:bodyPr rot="0" vert="horz"/>
          <a:lstStyle/>
          <a:p>
            <a:pPr>
              <a:defRPr sz="994" b="1" i="0" u="none" strike="noStrike" baseline="0">
                <a:solidFill>
                  <a:srgbClr val="000000"/>
                </a:solidFill>
                <a:latin typeface="Calibri"/>
                <a:ea typeface="Calibri"/>
                <a:cs typeface="Calibri"/>
              </a:defRPr>
            </a:pPr>
            <a:endParaRPr lang="ru-RU"/>
          </a:p>
        </c:txPr>
        <c:crossAx val="205633152"/>
        <c:crosses val="autoZero"/>
        <c:auto val="1"/>
        <c:lblAlgn val="ctr"/>
        <c:lblOffset val="100"/>
        <c:tickLblSkip val="1"/>
        <c:tickMarkSkip val="1"/>
        <c:noMultiLvlLbl val="0"/>
      </c:catAx>
      <c:valAx>
        <c:axId val="205633152"/>
        <c:scaling>
          <c:orientation val="minMax"/>
        </c:scaling>
        <c:delete val="0"/>
        <c:axPos val="l"/>
        <c:numFmt formatCode="General" sourceLinked="1"/>
        <c:majorTickMark val="out"/>
        <c:minorTickMark val="none"/>
        <c:tickLblPos val="none"/>
        <c:crossAx val="205632760"/>
        <c:crosses val="autoZero"/>
        <c:crossBetween val="between"/>
      </c:valAx>
      <c:spPr>
        <a:noFill/>
        <a:ln w="25362">
          <a:noFill/>
        </a:ln>
      </c:spPr>
    </c:plotArea>
    <c:legend>
      <c:legendPos val="r"/>
      <c:overlay val="0"/>
      <c:spPr>
        <a:noFill/>
        <a:ln w="3151">
          <a:solidFill>
            <a:srgbClr val="000000"/>
          </a:solidFill>
          <a:prstDash val="solid"/>
        </a:ln>
      </c:spPr>
      <c:txPr>
        <a:bodyPr/>
        <a:lstStyle/>
        <a:p>
          <a:pPr>
            <a:defRPr sz="91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94"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0606060606060622E-2"/>
          <c:y val="4.9450549450549483E-2"/>
          <c:w val="0.63419913419915053"/>
          <c:h val="0.76373626373626358"/>
        </c:manualLayout>
      </c:layout>
      <c:bar3DChart>
        <c:barDir val="col"/>
        <c:grouping val="stacked"/>
        <c:varyColors val="0"/>
        <c:ser>
          <c:idx val="0"/>
          <c:order val="0"/>
          <c:tx>
            <c:strRef>
              <c:f>Sheet1!$A$2</c:f>
              <c:strCache>
                <c:ptCount val="1"/>
                <c:pt idx="0">
                  <c:v>На 100 га с/х угодий</c:v>
                </c:pt>
              </c:strCache>
            </c:strRef>
          </c:tx>
          <c:spPr>
            <a:solidFill>
              <a:srgbClr val="9999FF"/>
            </a:solidFill>
            <a:ln w="12619">
              <a:solidFill>
                <a:srgbClr val="000000"/>
              </a:solidFill>
              <a:prstDash val="solid"/>
            </a:ln>
          </c:spPr>
          <c:invertIfNegative val="0"/>
          <c:cat>
            <c:strRef>
              <c:f>Sheet1!$B$1:$E$1</c:f>
              <c:strCache>
                <c:ptCount val="4"/>
                <c:pt idx="0">
                  <c:v>2015г.</c:v>
                </c:pt>
                <c:pt idx="1">
                  <c:v>2020г.</c:v>
                </c:pt>
                <c:pt idx="2">
                  <c:v>2025г.</c:v>
                </c:pt>
                <c:pt idx="3">
                  <c:v>2030г.</c:v>
                </c:pt>
              </c:strCache>
            </c:strRef>
          </c:cat>
          <c:val>
            <c:numRef>
              <c:f>Sheet1!$B$2:$E$2</c:f>
              <c:numCache>
                <c:formatCode>General</c:formatCode>
                <c:ptCount val="4"/>
                <c:pt idx="0">
                  <c:v>0</c:v>
                </c:pt>
                <c:pt idx="1">
                  <c:v>0</c:v>
                </c:pt>
                <c:pt idx="2">
                  <c:v>0</c:v>
                </c:pt>
                <c:pt idx="3">
                  <c:v>0</c:v>
                </c:pt>
              </c:numCache>
            </c:numRef>
          </c:val>
        </c:ser>
        <c:ser>
          <c:idx val="1"/>
          <c:order val="1"/>
          <c:tx>
            <c:strRef>
              <c:f>Sheet1!$A$3</c:f>
              <c:strCache>
                <c:ptCount val="1"/>
                <c:pt idx="0">
                  <c:v>Надой на 1 корову</c:v>
                </c:pt>
              </c:strCache>
            </c:strRef>
          </c:tx>
          <c:spPr>
            <a:solidFill>
              <a:srgbClr val="993366"/>
            </a:solidFill>
            <a:ln w="12619">
              <a:solidFill>
                <a:srgbClr val="000000"/>
              </a:solidFill>
              <a:prstDash val="solid"/>
            </a:ln>
          </c:spPr>
          <c:invertIfNegative val="0"/>
          <c:cat>
            <c:strRef>
              <c:f>Sheet1!$B$1:$E$1</c:f>
              <c:strCache>
                <c:ptCount val="4"/>
                <c:pt idx="0">
                  <c:v>2015г.</c:v>
                </c:pt>
                <c:pt idx="1">
                  <c:v>2020г.</c:v>
                </c:pt>
                <c:pt idx="2">
                  <c:v>2025г.</c:v>
                </c:pt>
                <c:pt idx="3">
                  <c:v>2030г.</c:v>
                </c:pt>
              </c:strCache>
            </c:strRef>
          </c:cat>
          <c:val>
            <c:numRef>
              <c:f>Sheet1!$B$3:$E$3</c:f>
              <c:numCache>
                <c:formatCode>General</c:formatCode>
                <c:ptCount val="4"/>
                <c:pt idx="0">
                  <c:v>0</c:v>
                </c:pt>
                <c:pt idx="1">
                  <c:v>0</c:v>
                </c:pt>
                <c:pt idx="2">
                  <c:v>0</c:v>
                </c:pt>
                <c:pt idx="3">
                  <c:v>0</c:v>
                </c:pt>
              </c:numCache>
            </c:numRef>
          </c:val>
        </c:ser>
        <c:ser>
          <c:idx val="2"/>
          <c:order val="2"/>
          <c:tx>
            <c:strRef>
              <c:f>Sheet1!$A$4</c:f>
              <c:strCache>
                <c:ptCount val="1"/>
                <c:pt idx="0">
                  <c:v>Производство молока, тыс.тонн</c:v>
                </c:pt>
              </c:strCache>
            </c:strRef>
          </c:tx>
          <c:spPr>
            <a:solidFill>
              <a:srgbClr val="FFFFCC"/>
            </a:solidFill>
            <a:ln w="12619">
              <a:solidFill>
                <a:srgbClr val="000000"/>
              </a:solidFill>
              <a:prstDash val="solid"/>
            </a:ln>
          </c:spPr>
          <c:invertIfNegative val="0"/>
          <c:dLbls>
            <c:dLbl>
              <c:idx val="0"/>
              <c:layout>
                <c:manualLayout>
                  <c:x val="2.6745120566015034E-2"/>
                  <c:y val="-0.3176258316268209"/>
                </c:manualLayout>
              </c:layout>
              <c:tx>
                <c:rich>
                  <a:bodyPr/>
                  <a:lstStyle/>
                  <a:p>
                    <a:pPr>
                      <a:defRPr sz="795" b="1" i="0" u="none" strike="noStrike" baseline="0">
                        <a:solidFill>
                          <a:srgbClr val="000000"/>
                        </a:solidFill>
                        <a:latin typeface="Calibri"/>
                        <a:ea typeface="Calibri"/>
                        <a:cs typeface="Calibri"/>
                      </a:defRPr>
                    </a:pPr>
                    <a:r>
                      <a:rPr lang="en-US"/>
                      <a:t>35,2</a:t>
                    </a:r>
                  </a:p>
                </c:rich>
              </c:tx>
              <c:spPr>
                <a:noFill/>
                <a:ln w="25239">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6.4038587538182406E-3"/>
                  <c:y val="-0.34873985703710109"/>
                </c:manualLayout>
              </c:layout>
              <c:tx>
                <c:rich>
                  <a:bodyPr/>
                  <a:lstStyle/>
                  <a:p>
                    <a:pPr>
                      <a:defRPr sz="795" b="1" i="0" u="none" strike="noStrike" baseline="0">
                        <a:solidFill>
                          <a:srgbClr val="000000"/>
                        </a:solidFill>
                        <a:latin typeface="Calibri"/>
                        <a:ea typeface="Calibri"/>
                        <a:cs typeface="Calibri"/>
                      </a:defRPr>
                    </a:pPr>
                    <a:r>
                      <a:rPr lang="en-US"/>
                      <a:t>39,0</a:t>
                    </a:r>
                  </a:p>
                </c:rich>
              </c:tx>
              <c:spPr>
                <a:noFill/>
                <a:ln w="25239">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9.8721207511455068E-3"/>
                  <c:y val="-0.39624345033793851"/>
                </c:manualLayout>
              </c:layout>
              <c:tx>
                <c:rich>
                  <a:bodyPr/>
                  <a:lstStyle/>
                  <a:p>
                    <a:pPr>
                      <a:defRPr sz="795" b="1" i="0" u="none" strike="noStrike" baseline="0">
                        <a:solidFill>
                          <a:srgbClr val="000000"/>
                        </a:solidFill>
                        <a:latin typeface="Calibri"/>
                        <a:ea typeface="Calibri"/>
                        <a:cs typeface="Calibri"/>
                      </a:defRPr>
                    </a:pPr>
                    <a:r>
                      <a:rPr lang="en-US"/>
                      <a:t>43,4</a:t>
                    </a:r>
                  </a:p>
                </c:rich>
              </c:tx>
              <c:spPr>
                <a:noFill/>
                <a:ln w="25239">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3.5314609960090232E-4"/>
                  <c:y val="-0.42932778234452479"/>
                </c:manualLayout>
              </c:layout>
              <c:tx>
                <c:rich>
                  <a:bodyPr/>
                  <a:lstStyle/>
                  <a:p>
                    <a:pPr>
                      <a:defRPr sz="795" b="1" i="0" u="none" strike="noStrike" baseline="0">
                        <a:solidFill>
                          <a:srgbClr val="000000"/>
                        </a:solidFill>
                        <a:latin typeface="Calibri"/>
                        <a:ea typeface="Calibri"/>
                        <a:cs typeface="Calibri"/>
                      </a:defRPr>
                    </a:pPr>
                    <a:r>
                      <a:rPr lang="en-US"/>
                      <a:t>52,0</a:t>
                    </a:r>
                  </a:p>
                </c:rich>
              </c:tx>
              <c:spPr>
                <a:noFill/>
                <a:ln w="25239">
                  <a:noFill/>
                </a:ln>
              </c:spPr>
              <c:showLegendKey val="0"/>
              <c:showVal val="0"/>
              <c:showCatName val="0"/>
              <c:showSerName val="0"/>
              <c:showPercent val="0"/>
              <c:showBubbleSize val="0"/>
              <c:extLst>
                <c:ext xmlns:c15="http://schemas.microsoft.com/office/drawing/2012/chart" uri="{CE6537A1-D6FC-4f65-9D91-7224C49458BB}"/>
              </c:extLst>
            </c:dLbl>
            <c:spPr>
              <a:noFill/>
              <a:ln w="25239">
                <a:noFill/>
              </a:ln>
            </c:spPr>
            <c:txPr>
              <a:bodyPr/>
              <a:lstStyle/>
              <a:p>
                <a:pPr>
                  <a:defRPr sz="794" b="1" i="0" u="none" strike="noStrike" baseline="0">
                    <a:solidFill>
                      <a:srgbClr val="000000"/>
                    </a:solidFill>
                    <a:latin typeface="Calibri"/>
                    <a:ea typeface="Calibri"/>
                    <a:cs typeface="Calibri"/>
                  </a:defRPr>
                </a:pPr>
                <a:endParaRPr lang="ru-RU"/>
              </a:p>
            </c:txPr>
            <c:showLegendKey val="0"/>
            <c:showVal val="0"/>
            <c:showCatName val="1"/>
            <c:showSerName val="1"/>
            <c:showPercent val="0"/>
            <c:showBubbleSize val="0"/>
            <c:showLeaderLines val="0"/>
            <c:extLst>
              <c:ext xmlns:c15="http://schemas.microsoft.com/office/drawing/2012/chart" uri="{CE6537A1-D6FC-4f65-9D91-7224C49458BB}">
                <c15:showLeaderLines val="0"/>
              </c:ext>
            </c:extLst>
          </c:dLbls>
          <c:cat>
            <c:strRef>
              <c:f>Sheet1!$B$1:$E$1</c:f>
              <c:strCache>
                <c:ptCount val="4"/>
                <c:pt idx="0">
                  <c:v>2015г.</c:v>
                </c:pt>
                <c:pt idx="1">
                  <c:v>2020г.</c:v>
                </c:pt>
                <c:pt idx="2">
                  <c:v>2025г.</c:v>
                </c:pt>
                <c:pt idx="3">
                  <c:v>2030г.</c:v>
                </c:pt>
              </c:strCache>
            </c:strRef>
          </c:cat>
          <c:val>
            <c:numRef>
              <c:f>Sheet1!$B$4:$E$4</c:f>
              <c:numCache>
                <c:formatCode>General</c:formatCode>
                <c:ptCount val="4"/>
                <c:pt idx="0">
                  <c:v>35.200000000000003</c:v>
                </c:pt>
                <c:pt idx="1">
                  <c:v>48.8</c:v>
                </c:pt>
                <c:pt idx="2">
                  <c:v>53.6</c:v>
                </c:pt>
                <c:pt idx="3">
                  <c:v>64.599999999999994</c:v>
                </c:pt>
              </c:numCache>
            </c:numRef>
          </c:val>
        </c:ser>
        <c:dLbls>
          <c:showLegendKey val="0"/>
          <c:showVal val="0"/>
          <c:showCatName val="0"/>
          <c:showSerName val="0"/>
          <c:showPercent val="0"/>
          <c:showBubbleSize val="0"/>
        </c:dLbls>
        <c:gapWidth val="150"/>
        <c:gapDepth val="0"/>
        <c:shape val="box"/>
        <c:axId val="202735632"/>
        <c:axId val="339705136"/>
        <c:axId val="0"/>
      </c:bar3DChart>
      <c:catAx>
        <c:axId val="202735632"/>
        <c:scaling>
          <c:orientation val="minMax"/>
        </c:scaling>
        <c:delete val="0"/>
        <c:axPos val="b"/>
        <c:numFmt formatCode="General" sourceLinked="1"/>
        <c:majorTickMark val="out"/>
        <c:minorTickMark val="none"/>
        <c:tickLblPos val="low"/>
        <c:spPr>
          <a:ln w="3154">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ru-RU"/>
          </a:p>
        </c:txPr>
        <c:crossAx val="339705136"/>
        <c:crosses val="autoZero"/>
        <c:auto val="1"/>
        <c:lblAlgn val="ctr"/>
        <c:lblOffset val="100"/>
        <c:tickLblSkip val="1"/>
        <c:tickMarkSkip val="1"/>
        <c:noMultiLvlLbl val="0"/>
      </c:catAx>
      <c:valAx>
        <c:axId val="339705136"/>
        <c:scaling>
          <c:orientation val="minMax"/>
        </c:scaling>
        <c:delete val="1"/>
        <c:axPos val="l"/>
        <c:numFmt formatCode="General" sourceLinked="1"/>
        <c:majorTickMark val="out"/>
        <c:minorTickMark val="none"/>
        <c:tickLblPos val="nextTo"/>
        <c:crossAx val="202735632"/>
        <c:crosses val="autoZero"/>
        <c:crossBetween val="between"/>
      </c:valAx>
      <c:spPr>
        <a:noFill/>
        <a:ln w="25379">
          <a:noFill/>
        </a:ln>
      </c:spPr>
    </c:plotArea>
    <c:legend>
      <c:legendPos val="r"/>
      <c:layout>
        <c:manualLayout>
          <c:xMode val="edge"/>
          <c:yMode val="edge"/>
          <c:x val="0.71861481367118385"/>
          <c:y val="0.22527472527472517"/>
          <c:w val="0.27272731431447206"/>
          <c:h val="0.5494505494505495"/>
        </c:manualLayout>
      </c:layout>
      <c:overlay val="0"/>
      <c:spPr>
        <a:noFill/>
        <a:ln w="3154">
          <a:solidFill>
            <a:srgbClr val="000000"/>
          </a:solidFill>
          <a:prstDash val="solid"/>
        </a:ln>
      </c:spPr>
      <c:txPr>
        <a:bodyPr/>
        <a:lstStyle/>
        <a:p>
          <a:pPr>
            <a:defRPr sz="73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5.3030303030303094E-2"/>
          <c:y val="1.8604651162790701E-2"/>
          <c:w val="0.67234848484849996"/>
          <c:h val="0.78604651162790651"/>
        </c:manualLayout>
      </c:layout>
      <c:bar3DChart>
        <c:barDir val="col"/>
        <c:grouping val="stacked"/>
        <c:varyColors val="0"/>
        <c:ser>
          <c:idx val="0"/>
          <c:order val="0"/>
          <c:tx>
            <c:strRef>
              <c:f>Sheet1!$A$2</c:f>
              <c:strCache>
                <c:ptCount val="1"/>
                <c:pt idx="0">
                  <c:v>Производство мяса, тыс.тонн</c:v>
                </c:pt>
              </c:strCache>
            </c:strRef>
          </c:tx>
          <c:spPr>
            <a:solidFill>
              <a:srgbClr val="9999FF"/>
            </a:solidFill>
            <a:ln w="12599">
              <a:solidFill>
                <a:srgbClr val="000000"/>
              </a:solidFill>
              <a:prstDash val="solid"/>
            </a:ln>
          </c:spPr>
          <c:invertIfNegative val="0"/>
          <c:dLbls>
            <c:dLbl>
              <c:idx val="0"/>
              <c:layout>
                <c:manualLayout>
                  <c:x val="1.2994447754455324E-2"/>
                  <c:y val="-0.38101571914687205"/>
                </c:manualLayout>
              </c:layout>
              <c:tx>
                <c:rich>
                  <a:bodyPr/>
                  <a:lstStyle/>
                  <a:p>
                    <a:pPr>
                      <a:defRPr sz="967" b="1" i="0" u="none" strike="noStrike" baseline="0">
                        <a:solidFill>
                          <a:srgbClr val="000000"/>
                        </a:solidFill>
                        <a:latin typeface="Calibri"/>
                        <a:ea typeface="Calibri"/>
                        <a:cs typeface="Calibri"/>
                      </a:defRPr>
                    </a:pPr>
                    <a:r>
                      <a:rPr lang="en-US"/>
                      <a:t>15,5</a:t>
                    </a:r>
                  </a:p>
                </c:rich>
              </c:tx>
              <c:spPr>
                <a:noFill/>
                <a:ln w="25198">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7.2930374040750315E-4"/>
                  <c:y val="-0.41185762380059032"/>
                </c:manualLayout>
              </c:layout>
              <c:tx>
                <c:rich>
                  <a:bodyPr/>
                  <a:lstStyle/>
                  <a:p>
                    <a:pPr>
                      <a:defRPr sz="967" b="1" i="0" u="none" strike="noStrike" baseline="0">
                        <a:solidFill>
                          <a:srgbClr val="000000"/>
                        </a:solidFill>
                        <a:latin typeface="Calibri"/>
                        <a:ea typeface="Calibri"/>
                        <a:cs typeface="Calibri"/>
                      </a:defRPr>
                    </a:pPr>
                    <a:r>
                      <a:rPr lang="en-US"/>
                      <a:t>17,9</a:t>
                    </a:r>
                  </a:p>
                </c:rich>
              </c:tx>
              <c:spPr>
                <a:noFill/>
                <a:ln w="25198">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3.9598862404038194E-3"/>
                  <c:y val="-0.41128554550687085"/>
                </c:manualLayout>
              </c:layout>
              <c:tx>
                <c:rich>
                  <a:bodyPr/>
                  <a:lstStyle/>
                  <a:p>
                    <a:pPr>
                      <a:defRPr sz="967" b="1" i="0" u="none" strike="noStrike" baseline="0">
                        <a:solidFill>
                          <a:srgbClr val="000000"/>
                        </a:solidFill>
                        <a:latin typeface="Calibri"/>
                        <a:ea typeface="Calibri"/>
                        <a:cs typeface="Calibri"/>
                      </a:defRPr>
                    </a:pPr>
                    <a:r>
                      <a:rPr lang="en-US"/>
                      <a:t>18,7</a:t>
                    </a:r>
                  </a:p>
                </c:rich>
              </c:tx>
              <c:spPr>
                <a:noFill/>
                <a:ln w="25198">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4.0846045918184852E-2"/>
                  <c:y val="-0.39131271657039302"/>
                </c:manualLayout>
              </c:layout>
              <c:tx>
                <c:rich>
                  <a:bodyPr/>
                  <a:lstStyle/>
                  <a:p>
                    <a:pPr>
                      <a:defRPr sz="967" b="1" i="0" u="none" strike="noStrike" baseline="0">
                        <a:solidFill>
                          <a:srgbClr val="000000"/>
                        </a:solidFill>
                        <a:latin typeface="Calibri"/>
                        <a:ea typeface="Calibri"/>
                        <a:cs typeface="Calibri"/>
                      </a:defRPr>
                    </a:pPr>
                    <a:r>
                      <a:rPr lang="en-US"/>
                      <a:t>19,8</a:t>
                    </a:r>
                  </a:p>
                </c:rich>
              </c:tx>
              <c:spPr>
                <a:noFill/>
                <a:ln w="25198">
                  <a:noFill/>
                </a:ln>
              </c:spPr>
              <c:showLegendKey val="0"/>
              <c:showVal val="0"/>
              <c:showCatName val="0"/>
              <c:showSerName val="0"/>
              <c:showPercent val="0"/>
              <c:showBubbleSize val="0"/>
              <c:extLst>
                <c:ext xmlns:c15="http://schemas.microsoft.com/office/drawing/2012/chart" uri="{CE6537A1-D6FC-4f65-9D91-7224C49458BB}"/>
              </c:extLst>
            </c:dLbl>
            <c:spPr>
              <a:noFill/>
              <a:ln w="25198">
                <a:noFill/>
              </a:ln>
            </c:spPr>
            <c:txPr>
              <a:bodyPr/>
              <a:lstStyle/>
              <a:p>
                <a:pPr>
                  <a:defRPr sz="944" b="1" i="0" u="none" strike="noStrike" baseline="0">
                    <a:solidFill>
                      <a:srgbClr val="000000"/>
                    </a:solidFill>
                    <a:latin typeface="Calibri"/>
                    <a:ea typeface="Calibri"/>
                    <a:cs typeface="Calibri"/>
                  </a:defRPr>
                </a:pPr>
                <a:endParaRPr lang="ru-R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Sheet1!$B$1:$E$1</c:f>
              <c:strCache>
                <c:ptCount val="4"/>
                <c:pt idx="0">
                  <c:v>2015г.</c:v>
                </c:pt>
                <c:pt idx="1">
                  <c:v>2020г.</c:v>
                </c:pt>
                <c:pt idx="2">
                  <c:v>2025г.</c:v>
                </c:pt>
                <c:pt idx="3">
                  <c:v>2030г.</c:v>
                </c:pt>
              </c:strCache>
            </c:strRef>
          </c:cat>
          <c:val>
            <c:numRef>
              <c:f>Sheet1!$B$2:$E$2</c:f>
              <c:numCache>
                <c:formatCode>General</c:formatCode>
                <c:ptCount val="4"/>
                <c:pt idx="0">
                  <c:v>15.5</c:v>
                </c:pt>
                <c:pt idx="1">
                  <c:v>17.899999999999999</c:v>
                </c:pt>
                <c:pt idx="2">
                  <c:v>18.7</c:v>
                </c:pt>
                <c:pt idx="3">
                  <c:v>19.8</c:v>
                </c:pt>
              </c:numCache>
            </c:numRef>
          </c:val>
        </c:ser>
        <c:ser>
          <c:idx val="1"/>
          <c:order val="1"/>
          <c:tx>
            <c:strRef>
              <c:f>Sheet1!$A$3</c:f>
              <c:strCache>
                <c:ptCount val="1"/>
                <c:pt idx="0">
                  <c:v>на 100 га с/х угодий, цн.</c:v>
                </c:pt>
              </c:strCache>
            </c:strRef>
          </c:tx>
          <c:spPr>
            <a:solidFill>
              <a:srgbClr val="993366"/>
            </a:solidFill>
            <a:ln w="12599">
              <a:solidFill>
                <a:srgbClr val="000000"/>
              </a:solidFill>
              <a:prstDash val="solid"/>
            </a:ln>
          </c:spPr>
          <c:invertIfNegative val="0"/>
          <c:cat>
            <c:strRef>
              <c:f>Sheet1!$B$1:$E$1</c:f>
              <c:strCache>
                <c:ptCount val="4"/>
                <c:pt idx="0">
                  <c:v>2015г.</c:v>
                </c:pt>
                <c:pt idx="1">
                  <c:v>2020г.</c:v>
                </c:pt>
                <c:pt idx="2">
                  <c:v>2025г.</c:v>
                </c:pt>
                <c:pt idx="3">
                  <c:v>2030г.</c:v>
                </c:pt>
              </c:strCache>
            </c:strRef>
          </c:cat>
          <c:val>
            <c:numRef>
              <c:f>Sheet1!$B$3:$E$3</c:f>
              <c:numCache>
                <c:formatCode>General</c:formatCode>
                <c:ptCount val="4"/>
              </c:numCache>
            </c:numRef>
          </c:val>
        </c:ser>
        <c:dLbls>
          <c:showLegendKey val="0"/>
          <c:showVal val="0"/>
          <c:showCatName val="0"/>
          <c:showSerName val="0"/>
          <c:showPercent val="0"/>
          <c:showBubbleSize val="0"/>
        </c:dLbls>
        <c:gapWidth val="150"/>
        <c:gapDepth val="0"/>
        <c:shape val="cylinder"/>
        <c:axId val="339705920"/>
        <c:axId val="339706312"/>
        <c:axId val="0"/>
      </c:bar3DChart>
      <c:catAx>
        <c:axId val="339705920"/>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944" b="1" i="0" u="none" strike="noStrike" baseline="0">
                <a:solidFill>
                  <a:srgbClr val="000000"/>
                </a:solidFill>
                <a:latin typeface="Calibri"/>
                <a:ea typeface="Calibri"/>
                <a:cs typeface="Calibri"/>
              </a:defRPr>
            </a:pPr>
            <a:endParaRPr lang="ru-RU"/>
          </a:p>
        </c:txPr>
        <c:crossAx val="339706312"/>
        <c:crosses val="autoZero"/>
        <c:auto val="1"/>
        <c:lblAlgn val="ctr"/>
        <c:lblOffset val="100"/>
        <c:tickLblSkip val="1"/>
        <c:tickMarkSkip val="1"/>
        <c:noMultiLvlLbl val="0"/>
      </c:catAx>
      <c:valAx>
        <c:axId val="339706312"/>
        <c:scaling>
          <c:orientation val="minMax"/>
        </c:scaling>
        <c:delete val="1"/>
        <c:axPos val="l"/>
        <c:numFmt formatCode="General" sourceLinked="1"/>
        <c:majorTickMark val="out"/>
        <c:minorTickMark val="none"/>
        <c:tickLblPos val="nextTo"/>
        <c:crossAx val="339705920"/>
        <c:crosses val="autoZero"/>
        <c:crossBetween val="between"/>
      </c:valAx>
      <c:spPr>
        <a:noFill/>
        <a:ln w="25369">
          <a:noFill/>
        </a:ln>
      </c:spPr>
    </c:plotArea>
    <c:legend>
      <c:legendPos val="r"/>
      <c:layout>
        <c:manualLayout>
          <c:xMode val="edge"/>
          <c:yMode val="edge"/>
          <c:x val="0.70265151970508199"/>
          <c:y val="0.33488372093023888"/>
          <c:w val="0.29734848029493127"/>
          <c:h val="0.34883720930232581"/>
        </c:manualLayout>
      </c:layout>
      <c:overlay val="0"/>
      <c:spPr>
        <a:noFill/>
        <a:ln w="3150">
          <a:solidFill>
            <a:srgbClr val="000000"/>
          </a:solidFill>
          <a:prstDash val="solid"/>
        </a:ln>
      </c:spPr>
      <c:txPr>
        <a:bodyPr/>
        <a:lstStyle/>
        <a:p>
          <a:pPr>
            <a:defRPr sz="86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44"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0.14854</cdr:x>
      <cdr:y>0.53406</cdr:y>
    </cdr:from>
    <cdr:to>
      <cdr:x>0.2371</cdr:x>
      <cdr:y>0.66584</cdr:y>
    </cdr:to>
    <cdr:sp macro="" textlink="">
      <cdr:nvSpPr>
        <cdr:cNvPr id="2" name="Поле 1"/>
        <cdr:cNvSpPr txBox="1"/>
      </cdr:nvSpPr>
      <cdr:spPr>
        <a:xfrm xmlns:a="http://schemas.openxmlformats.org/drawingml/2006/main">
          <a:off x="812801" y="1203569"/>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vertOverflow="clip" wrap="square" rtlCol="0"/>
        <a:lstStyle xmlns:a="http://schemas.openxmlformats.org/drawingml/2006/main"/>
        <a:p xmlns:a="http://schemas.openxmlformats.org/drawingml/2006/main">
          <a:r>
            <a:rPr lang="ru-RU" sz="1100"/>
            <a:t>6,04</a:t>
          </a:r>
        </a:p>
      </cdr:txBody>
    </cdr:sp>
  </cdr:relSizeAnchor>
  <cdr:relSizeAnchor xmlns:cdr="http://schemas.openxmlformats.org/drawingml/2006/chartDrawing">
    <cdr:from>
      <cdr:x>0.30209</cdr:x>
      <cdr:y>0.45603</cdr:y>
    </cdr:from>
    <cdr:to>
      <cdr:x>0.39064</cdr:x>
      <cdr:y>0.58781</cdr:y>
    </cdr:to>
    <cdr:sp macro="" textlink="">
      <cdr:nvSpPr>
        <cdr:cNvPr id="3" name="Поле 1"/>
        <cdr:cNvSpPr txBox="1"/>
      </cdr:nvSpPr>
      <cdr:spPr>
        <a:xfrm xmlns:a="http://schemas.openxmlformats.org/drawingml/2006/main">
          <a:off x="1652955" y="1027723"/>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pPr algn="ctr"/>
          <a:r>
            <a:rPr lang="ru-RU"/>
            <a:t>6,5</a:t>
          </a:r>
        </a:p>
      </cdr:txBody>
    </cdr:sp>
  </cdr:relSizeAnchor>
  <cdr:relSizeAnchor xmlns:cdr="http://schemas.openxmlformats.org/drawingml/2006/chartDrawing">
    <cdr:from>
      <cdr:x>0.4592</cdr:x>
      <cdr:y>0.40401</cdr:y>
    </cdr:from>
    <cdr:to>
      <cdr:x>0.54775</cdr:x>
      <cdr:y>0.5358</cdr:y>
    </cdr:to>
    <cdr:sp macro="" textlink="">
      <cdr:nvSpPr>
        <cdr:cNvPr id="4" name="Поле 1"/>
        <cdr:cNvSpPr txBox="1"/>
      </cdr:nvSpPr>
      <cdr:spPr>
        <a:xfrm xmlns:a="http://schemas.openxmlformats.org/drawingml/2006/main">
          <a:off x="2512647" y="910492"/>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pPr algn="ctr"/>
          <a:r>
            <a:rPr lang="ru-RU"/>
            <a:t>7,0</a:t>
          </a:r>
        </a:p>
      </cdr:txBody>
    </cdr:sp>
  </cdr:relSizeAnchor>
  <cdr:relSizeAnchor xmlns:cdr="http://schemas.openxmlformats.org/drawingml/2006/chartDrawing">
    <cdr:from>
      <cdr:x>0.6106</cdr:x>
      <cdr:y>0.32772</cdr:y>
    </cdr:from>
    <cdr:to>
      <cdr:x>0.69915</cdr:x>
      <cdr:y>0.4595</cdr:y>
    </cdr:to>
    <cdr:sp macro="" textlink="">
      <cdr:nvSpPr>
        <cdr:cNvPr id="5" name="Поле 1"/>
        <cdr:cNvSpPr txBox="1"/>
      </cdr:nvSpPr>
      <cdr:spPr>
        <a:xfrm xmlns:a="http://schemas.openxmlformats.org/drawingml/2006/main">
          <a:off x="3341077" y="738553"/>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pPr algn="ctr"/>
          <a:r>
            <a:rPr lang="ru-RU"/>
            <a:t>8,0</a:t>
          </a:r>
        </a:p>
      </cdr:txBody>
    </cdr:sp>
  </cdr:relSizeAnchor>
</c:userShapes>
</file>

<file path=word/drawings/drawing2.xml><?xml version="1.0" encoding="utf-8"?>
<c:userShapes xmlns:c="http://schemas.openxmlformats.org/drawingml/2006/chart">
  <cdr:relSizeAnchor xmlns:cdr="http://schemas.openxmlformats.org/drawingml/2006/chartDrawing">
    <cdr:from>
      <cdr:x>0.26125</cdr:x>
      <cdr:y>0.43622</cdr:y>
    </cdr:from>
    <cdr:to>
      <cdr:x>0.35385</cdr:x>
      <cdr:y>0.55983</cdr:y>
    </cdr:to>
    <cdr:sp macro="" textlink="">
      <cdr:nvSpPr>
        <cdr:cNvPr id="3" name="Text Box 3"/>
        <cdr:cNvSpPr txBox="1">
          <a:spLocks xmlns:a="http://schemas.openxmlformats.org/drawingml/2006/main" noChangeArrowheads="1"/>
        </cdr:cNvSpPr>
      </cdr:nvSpPr>
      <cdr:spPr bwMode="auto">
        <a:xfrm xmlns:a="http://schemas.openxmlformats.org/drawingml/2006/main">
          <a:off x="1168058" y="797755"/>
          <a:ext cx="414020" cy="226060"/>
        </a:xfrm>
        <a:prstGeom xmlns:a="http://schemas.openxmlformats.org/drawingml/2006/main" prst="roundRect">
          <a:avLst/>
        </a:prstGeom>
        <a:ln xmlns:a="http://schemas.openxmlformats.org/drawingml/2006/main">
          <a:headEnd/>
          <a:tailEnd/>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6000</a:t>
          </a:r>
        </a:p>
      </cdr:txBody>
    </cdr:sp>
  </cdr:relSizeAnchor>
  <cdr:relSizeAnchor xmlns:cdr="http://schemas.openxmlformats.org/drawingml/2006/chartDrawing">
    <cdr:from>
      <cdr:x>0.39934</cdr:x>
      <cdr:y>0.36784</cdr:y>
    </cdr:from>
    <cdr:to>
      <cdr:x>0.49194</cdr:x>
      <cdr:y>0.49145</cdr:y>
    </cdr:to>
    <cdr:sp macro="" textlink="">
      <cdr:nvSpPr>
        <cdr:cNvPr id="4" name="Text Box 3"/>
        <cdr:cNvSpPr txBox="1">
          <a:spLocks xmlns:a="http://schemas.openxmlformats.org/drawingml/2006/main" noChangeArrowheads="1"/>
        </cdr:cNvSpPr>
      </cdr:nvSpPr>
      <cdr:spPr bwMode="auto">
        <a:xfrm xmlns:a="http://schemas.openxmlformats.org/drawingml/2006/main">
          <a:off x="1785473" y="672709"/>
          <a:ext cx="414020" cy="226060"/>
        </a:xfrm>
        <a:prstGeom xmlns:a="http://schemas.openxmlformats.org/drawingml/2006/main" prst="roundRect">
          <a:avLst/>
        </a:prstGeom>
        <a:ln xmlns:a="http://schemas.openxmlformats.org/drawingml/2006/main">
          <a:headEnd/>
          <a:tailEnd/>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6200</a:t>
          </a:r>
        </a:p>
      </cdr:txBody>
    </cdr:sp>
  </cdr:relSizeAnchor>
  <cdr:relSizeAnchor xmlns:cdr="http://schemas.openxmlformats.org/drawingml/2006/chartDrawing">
    <cdr:from>
      <cdr:x>0.53918</cdr:x>
      <cdr:y>0.29092</cdr:y>
    </cdr:from>
    <cdr:to>
      <cdr:x>0.63178</cdr:x>
      <cdr:y>0.41453</cdr:y>
    </cdr:to>
    <cdr:sp macro="" textlink="">
      <cdr:nvSpPr>
        <cdr:cNvPr id="5" name="Text Box 3"/>
        <cdr:cNvSpPr txBox="1">
          <a:spLocks xmlns:a="http://schemas.openxmlformats.org/drawingml/2006/main" noChangeArrowheads="1"/>
        </cdr:cNvSpPr>
      </cdr:nvSpPr>
      <cdr:spPr bwMode="auto">
        <a:xfrm xmlns:a="http://schemas.openxmlformats.org/drawingml/2006/main">
          <a:off x="2410704" y="532032"/>
          <a:ext cx="414020" cy="226060"/>
        </a:xfrm>
        <a:prstGeom xmlns:a="http://schemas.openxmlformats.org/drawingml/2006/main" prst="roundRect">
          <a:avLst/>
        </a:prstGeom>
        <a:ln xmlns:a="http://schemas.openxmlformats.org/drawingml/2006/main">
          <a:headEnd/>
          <a:tailEnd/>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6500</a:t>
          </a:r>
        </a:p>
      </cdr:txBody>
    </cdr:sp>
  </cdr:relSizeAnchor>
  <cdr:relSizeAnchor xmlns:cdr="http://schemas.openxmlformats.org/drawingml/2006/chartDrawing">
    <cdr:from>
      <cdr:x>0.12061</cdr:x>
      <cdr:y>0.67917</cdr:y>
    </cdr:from>
    <cdr:to>
      <cdr:x>0.20102</cdr:x>
      <cdr:y>0.77778</cdr:y>
    </cdr:to>
    <cdr:sp macro="" textlink="">
      <cdr:nvSpPr>
        <cdr:cNvPr id="6" name="Text Box 3"/>
        <cdr:cNvSpPr txBox="1">
          <a:spLocks xmlns:a="http://schemas.openxmlformats.org/drawingml/2006/main" noChangeArrowheads="1"/>
        </cdr:cNvSpPr>
      </cdr:nvSpPr>
      <cdr:spPr bwMode="auto">
        <a:xfrm xmlns:a="http://schemas.openxmlformats.org/drawingml/2006/main">
          <a:off x="539262" y="1242060"/>
          <a:ext cx="359508" cy="180339"/>
        </a:xfrm>
        <a:prstGeom xmlns:a="http://schemas.openxmlformats.org/drawingml/2006/main" prst="snip2DiagRect">
          <a:avLst/>
        </a:prstGeom>
        <a:ln xmlns:a="http://schemas.openxmlformats.org/drawingml/2006/main">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292</a:t>
          </a:r>
        </a:p>
      </cdr:txBody>
    </cdr:sp>
  </cdr:relSizeAnchor>
  <cdr:relSizeAnchor xmlns:cdr="http://schemas.openxmlformats.org/drawingml/2006/chartDrawing">
    <cdr:from>
      <cdr:x>0.26657</cdr:x>
      <cdr:y>0.59583</cdr:y>
    </cdr:from>
    <cdr:to>
      <cdr:x>0.34698</cdr:x>
      <cdr:y>0.69444</cdr:y>
    </cdr:to>
    <cdr:sp macro="" textlink="">
      <cdr:nvSpPr>
        <cdr:cNvPr id="7" name="Text Box 3"/>
        <cdr:cNvSpPr txBox="1">
          <a:spLocks xmlns:a="http://schemas.openxmlformats.org/drawingml/2006/main" noChangeArrowheads="1"/>
        </cdr:cNvSpPr>
      </cdr:nvSpPr>
      <cdr:spPr bwMode="auto">
        <a:xfrm xmlns:a="http://schemas.openxmlformats.org/drawingml/2006/main">
          <a:off x="1191847" y="1089660"/>
          <a:ext cx="359508" cy="180339"/>
        </a:xfrm>
        <a:prstGeom xmlns:a="http://schemas.openxmlformats.org/drawingml/2006/main" prst="snip2DiagRect">
          <a:avLst/>
        </a:prstGeom>
        <a:ln xmlns:a="http://schemas.openxmlformats.org/drawingml/2006/main">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324</a:t>
          </a:r>
        </a:p>
      </cdr:txBody>
    </cdr:sp>
  </cdr:relSizeAnchor>
  <cdr:relSizeAnchor xmlns:cdr="http://schemas.openxmlformats.org/drawingml/2006/chartDrawing">
    <cdr:from>
      <cdr:x>0.54625</cdr:x>
      <cdr:y>0.47618</cdr:y>
    </cdr:from>
    <cdr:to>
      <cdr:x>0.62666</cdr:x>
      <cdr:y>0.57479</cdr:y>
    </cdr:to>
    <cdr:sp macro="" textlink="">
      <cdr:nvSpPr>
        <cdr:cNvPr id="8" name="Text Box 3"/>
        <cdr:cNvSpPr txBox="1">
          <a:spLocks xmlns:a="http://schemas.openxmlformats.org/drawingml/2006/main" noChangeArrowheads="1"/>
        </cdr:cNvSpPr>
      </cdr:nvSpPr>
      <cdr:spPr bwMode="auto">
        <a:xfrm xmlns:a="http://schemas.openxmlformats.org/drawingml/2006/main">
          <a:off x="2442308" y="870830"/>
          <a:ext cx="359508" cy="180339"/>
        </a:xfrm>
        <a:prstGeom xmlns:a="http://schemas.openxmlformats.org/drawingml/2006/main" prst="snip2DiagRect">
          <a:avLst/>
        </a:prstGeom>
        <a:ln xmlns:a="http://schemas.openxmlformats.org/drawingml/2006/main">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en-US" sz="700"/>
            <a:t>43</a:t>
          </a:r>
          <a:r>
            <a:rPr lang="ru-RU" sz="700"/>
            <a:t>1</a:t>
          </a:r>
        </a:p>
      </cdr:txBody>
    </cdr:sp>
  </cdr:relSizeAnchor>
  <cdr:relSizeAnchor xmlns:cdr="http://schemas.openxmlformats.org/drawingml/2006/chartDrawing">
    <cdr:from>
      <cdr:x>0.40291</cdr:x>
      <cdr:y>0.54637</cdr:y>
    </cdr:from>
    <cdr:to>
      <cdr:x>0.48332</cdr:x>
      <cdr:y>0.64498</cdr:y>
    </cdr:to>
    <cdr:sp macro="" textlink="">
      <cdr:nvSpPr>
        <cdr:cNvPr id="9" name="Text Box 3"/>
        <cdr:cNvSpPr txBox="1">
          <a:spLocks xmlns:a="http://schemas.openxmlformats.org/drawingml/2006/main" noChangeArrowheads="1"/>
        </cdr:cNvSpPr>
      </cdr:nvSpPr>
      <cdr:spPr bwMode="auto">
        <a:xfrm xmlns:a="http://schemas.openxmlformats.org/drawingml/2006/main">
          <a:off x="1801447" y="999198"/>
          <a:ext cx="359508" cy="180339"/>
        </a:xfrm>
        <a:prstGeom xmlns:a="http://schemas.openxmlformats.org/drawingml/2006/main" prst="snip2DiagRect">
          <a:avLst/>
        </a:prstGeom>
        <a:ln xmlns:a="http://schemas.openxmlformats.org/drawingml/2006/main">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362</a:t>
          </a:r>
        </a:p>
      </cdr:txBody>
    </cdr:sp>
  </cdr:relSizeAnchor>
</c:userShapes>
</file>

<file path=word/drawings/drawing3.xml><?xml version="1.0" encoding="utf-8"?>
<c:userShapes xmlns:c="http://schemas.openxmlformats.org/drawingml/2006/chart">
  <cdr:relSizeAnchor xmlns:cdr="http://schemas.openxmlformats.org/drawingml/2006/chartDrawing">
    <cdr:from>
      <cdr:x>0.12513</cdr:x>
      <cdr:y>0.46441</cdr:y>
    </cdr:from>
    <cdr:to>
      <cdr:x>0.22033</cdr:x>
      <cdr:y>0.60282</cdr:y>
    </cdr:to>
    <cdr:sp macro="" textlink="">
      <cdr:nvSpPr>
        <cdr:cNvPr id="2" name="Поле 1"/>
        <cdr:cNvSpPr txBox="1"/>
      </cdr:nvSpPr>
      <cdr:spPr>
        <a:xfrm xmlns:a="http://schemas.openxmlformats.org/drawingml/2006/main">
          <a:off x="636955" y="996461"/>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r>
            <a:rPr lang="ru-RU" sz="900"/>
            <a:t>128,6</a:t>
          </a:r>
        </a:p>
      </cdr:txBody>
    </cdr:sp>
  </cdr:relSizeAnchor>
  <cdr:relSizeAnchor xmlns:cdr="http://schemas.openxmlformats.org/drawingml/2006/chartDrawing">
    <cdr:from>
      <cdr:x>0.271</cdr:x>
      <cdr:y>0.35878</cdr:y>
    </cdr:from>
    <cdr:to>
      <cdr:x>0.36619</cdr:x>
      <cdr:y>0.49719</cdr:y>
    </cdr:to>
    <cdr:sp macro="" textlink="">
      <cdr:nvSpPr>
        <cdr:cNvPr id="3" name="Поле 1"/>
        <cdr:cNvSpPr txBox="1"/>
      </cdr:nvSpPr>
      <cdr:spPr>
        <a:xfrm xmlns:a="http://schemas.openxmlformats.org/drawingml/2006/main">
          <a:off x="1379416" y="769815"/>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r>
            <a:rPr lang="ru-RU" sz="900"/>
            <a:t>148,1</a:t>
          </a:r>
        </a:p>
      </cdr:txBody>
    </cdr:sp>
  </cdr:relSizeAnchor>
  <cdr:relSizeAnchor xmlns:cdr="http://schemas.openxmlformats.org/drawingml/2006/chartDrawing">
    <cdr:from>
      <cdr:x>0.40611</cdr:x>
      <cdr:y>0.29686</cdr:y>
    </cdr:from>
    <cdr:to>
      <cdr:x>0.50131</cdr:x>
      <cdr:y>0.43527</cdr:y>
    </cdr:to>
    <cdr:sp macro="" textlink="">
      <cdr:nvSpPr>
        <cdr:cNvPr id="4" name="Поле 1"/>
        <cdr:cNvSpPr txBox="1"/>
      </cdr:nvSpPr>
      <cdr:spPr>
        <a:xfrm xmlns:a="http://schemas.openxmlformats.org/drawingml/2006/main">
          <a:off x="2067170" y="636954"/>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r>
            <a:rPr lang="ru-RU" sz="900"/>
            <a:t>154,8</a:t>
          </a:r>
        </a:p>
      </cdr:txBody>
    </cdr:sp>
  </cdr:relSizeAnchor>
  <cdr:relSizeAnchor xmlns:cdr="http://schemas.openxmlformats.org/drawingml/2006/chartDrawing">
    <cdr:from>
      <cdr:x>0.5489</cdr:x>
      <cdr:y>0.19851</cdr:y>
    </cdr:from>
    <cdr:to>
      <cdr:x>0.6441</cdr:x>
      <cdr:y>0.33692</cdr:y>
    </cdr:to>
    <cdr:sp macro="" textlink="">
      <cdr:nvSpPr>
        <cdr:cNvPr id="5" name="Поле 1"/>
        <cdr:cNvSpPr txBox="1"/>
      </cdr:nvSpPr>
      <cdr:spPr>
        <a:xfrm xmlns:a="http://schemas.openxmlformats.org/drawingml/2006/main">
          <a:off x="2794002" y="425938"/>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r>
            <a:rPr lang="ru-RU" sz="900"/>
            <a:t>163,9</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E445-B65C-44D9-A277-DF7D0D22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6318</Words>
  <Characters>36015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Гайнутдинов</dc:creator>
  <cp:keywords/>
  <dc:description/>
  <cp:lastModifiedBy>Tik_gorod</cp:lastModifiedBy>
  <cp:revision>8</cp:revision>
  <cp:lastPrinted>2019-10-30T13:56:00Z</cp:lastPrinted>
  <dcterms:created xsi:type="dcterms:W3CDTF">2019-10-30T12:50:00Z</dcterms:created>
  <dcterms:modified xsi:type="dcterms:W3CDTF">2019-11-07T10:38:00Z</dcterms:modified>
</cp:coreProperties>
</file>