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287"/>
        <w:gridCol w:w="4666"/>
      </w:tblGrid>
      <w:tr w:rsidR="00FA5D21" w:rsidTr="002A3245">
        <w:trPr>
          <w:trHeight w:val="1560"/>
        </w:trPr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A5D21" w:rsidRDefault="00FA5D21" w:rsidP="002A32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РЕСПУБЛИКА ТАТАРСТАН</w:t>
            </w:r>
          </w:p>
          <w:p w:rsidR="00FA5D21" w:rsidRDefault="00FA5D21" w:rsidP="002A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БУИНСКИЙ МУНИЦИПАЛЬНЫЙ РАЙОН</w:t>
            </w:r>
          </w:p>
          <w:p w:rsidR="00FA5D21" w:rsidRDefault="00FA5D21" w:rsidP="002A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КИЯТСКОГО</w:t>
            </w:r>
          </w:p>
          <w:p w:rsidR="00FA5D21" w:rsidRDefault="00FA5D21" w:rsidP="002A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FA5D21" w:rsidRDefault="00FA5D21" w:rsidP="002A3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5D21" w:rsidRDefault="00FA5D21" w:rsidP="002A3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723900" cy="895350"/>
                  <wp:effectExtent l="19050" t="0" r="0" b="0"/>
                  <wp:docPr id="2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5D21" w:rsidRDefault="00FA5D21" w:rsidP="002A32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FA5D21" w:rsidRDefault="00FA5D21" w:rsidP="002A3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БУА МУНИЦИПАЛЬ РАЙОНЫ </w:t>
            </w:r>
          </w:p>
          <w:p w:rsidR="00FA5D21" w:rsidRDefault="00FA5D21" w:rsidP="002A3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КЫЯТ</w:t>
            </w:r>
          </w:p>
          <w:p w:rsidR="00FA5D21" w:rsidRDefault="00FA5D21" w:rsidP="002A3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АВЫЛ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ҖИРЛЕГЕ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СОВЕТЫ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FA5D21" w:rsidRDefault="00FA5D21" w:rsidP="00FA5D21">
      <w:pPr>
        <w:spacing w:after="0" w:line="240" w:lineRule="auto"/>
        <w:rPr>
          <w:rFonts w:ascii="Times New Roman" w:hAnsi="Times New Roman"/>
          <w:color w:val="000000"/>
          <w:szCs w:val="20"/>
        </w:rPr>
      </w:pPr>
    </w:p>
    <w:p w:rsidR="00FA5D21" w:rsidRDefault="00FA5D21" w:rsidP="00FA5D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КАРАР</w:t>
      </w:r>
    </w:p>
    <w:p w:rsidR="00FA5D21" w:rsidRDefault="00FA5D21" w:rsidP="00FA5D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FA5D21" w:rsidRDefault="00FA5D21" w:rsidP="00FA5D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</w:t>
      </w:r>
    </w:p>
    <w:p w:rsidR="00FA5D21" w:rsidRDefault="00FA5D21" w:rsidP="00FA5D2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 ноября  2014 года</w:t>
      </w:r>
      <w:r>
        <w:rPr>
          <w:rFonts w:ascii="Times New Roman" w:hAnsi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№ 1-55</w:t>
      </w:r>
    </w:p>
    <w:p w:rsidR="00FA5D21" w:rsidRDefault="00FA5D21" w:rsidP="00FA5D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5D21" w:rsidRDefault="00FA5D21" w:rsidP="00FA5D21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«О налоге на имущество физических лиц»</w:t>
      </w:r>
    </w:p>
    <w:p w:rsidR="00FA5D21" w:rsidRPr="00406C3B" w:rsidRDefault="00FA5D21" w:rsidP="00FA5D2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5D21" w:rsidRDefault="00FA5D21" w:rsidP="00FA5D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6C3B">
        <w:rPr>
          <w:rFonts w:ascii="Times New Roman" w:hAnsi="Times New Roman"/>
          <w:sz w:val="24"/>
          <w:szCs w:val="24"/>
        </w:rPr>
        <w:t xml:space="preserve">В соответствии с главой 32 Налогового кодекса Российской Федерации, Законом Республики Татарстан от 30 октября 2014 года  № 82-ЗРТ «Об установлении единой даты  начала применения на территории Республики Татарстан порядка определения налоговой базы по налогу на имущество физических лиц, исходя из кадастровой стоимости объектов налогообложения» Совет </w:t>
      </w:r>
      <w:proofErr w:type="spellStart"/>
      <w:r w:rsidRPr="00406C3B">
        <w:rPr>
          <w:rFonts w:ascii="Times New Roman" w:hAnsi="Times New Roman"/>
          <w:sz w:val="24"/>
          <w:szCs w:val="24"/>
        </w:rPr>
        <w:t>Киятского</w:t>
      </w:r>
      <w:proofErr w:type="spellEnd"/>
      <w:r w:rsidRPr="00406C3B">
        <w:rPr>
          <w:rFonts w:ascii="Times New Roman" w:hAnsi="Times New Roman"/>
          <w:sz w:val="24"/>
          <w:szCs w:val="24"/>
        </w:rPr>
        <w:t xml:space="preserve"> сельского поселения  </w:t>
      </w:r>
      <w:r w:rsidRPr="006B1567">
        <w:rPr>
          <w:rFonts w:ascii="Times New Roman" w:hAnsi="Times New Roman"/>
          <w:b/>
          <w:sz w:val="24"/>
          <w:szCs w:val="24"/>
        </w:rPr>
        <w:t>решил</w:t>
      </w:r>
      <w:r w:rsidRPr="00406C3B">
        <w:rPr>
          <w:rFonts w:ascii="Times New Roman" w:hAnsi="Times New Roman"/>
          <w:sz w:val="24"/>
          <w:szCs w:val="24"/>
        </w:rPr>
        <w:t>:</w:t>
      </w:r>
    </w:p>
    <w:p w:rsidR="00FA5D21" w:rsidRPr="00406C3B" w:rsidRDefault="00FA5D21" w:rsidP="00FA5D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A5D21" w:rsidRPr="00406C3B" w:rsidRDefault="00FA5D21" w:rsidP="00FA5D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6C3B">
        <w:rPr>
          <w:rFonts w:ascii="Times New Roman" w:hAnsi="Times New Roman"/>
          <w:sz w:val="24"/>
          <w:szCs w:val="24"/>
        </w:rPr>
        <w:t>1.</w:t>
      </w:r>
      <w:r w:rsidRPr="00406C3B">
        <w:rPr>
          <w:sz w:val="24"/>
          <w:szCs w:val="24"/>
        </w:rPr>
        <w:t xml:space="preserve"> </w:t>
      </w:r>
      <w:hyperlink r:id="rId7" w:history="1">
        <w:r w:rsidRPr="00406C3B">
          <w:rPr>
            <w:rFonts w:ascii="Times New Roman" w:hAnsi="Times New Roman"/>
            <w:sz w:val="24"/>
            <w:szCs w:val="24"/>
          </w:rPr>
          <w:t>Установить</w:t>
        </w:r>
      </w:hyperlink>
      <w:r w:rsidRPr="00406C3B">
        <w:rPr>
          <w:rFonts w:ascii="Times New Roman" w:hAnsi="Times New Roman"/>
          <w:sz w:val="24"/>
          <w:szCs w:val="24"/>
        </w:rPr>
        <w:t xml:space="preserve"> и ввести в действие налог</w:t>
      </w:r>
      <w:r w:rsidRPr="00406C3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06C3B">
        <w:rPr>
          <w:rFonts w:ascii="Times New Roman" w:hAnsi="Times New Roman"/>
          <w:sz w:val="24"/>
          <w:szCs w:val="24"/>
        </w:rPr>
        <w:t xml:space="preserve">на имущество физических лиц, обязательный к уплате на территории </w:t>
      </w:r>
      <w:proofErr w:type="spellStart"/>
      <w:r w:rsidRPr="00406C3B">
        <w:rPr>
          <w:rFonts w:ascii="Times New Roman" w:hAnsi="Times New Roman"/>
          <w:sz w:val="24"/>
          <w:szCs w:val="24"/>
        </w:rPr>
        <w:t>Киятского</w:t>
      </w:r>
      <w:proofErr w:type="spellEnd"/>
      <w:r w:rsidRPr="00406C3B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 xml:space="preserve"> Буинского муниципального района Республики Татарстан</w:t>
      </w:r>
      <w:r w:rsidRPr="00406C3B">
        <w:rPr>
          <w:rFonts w:ascii="Times New Roman" w:hAnsi="Times New Roman"/>
          <w:sz w:val="24"/>
          <w:szCs w:val="24"/>
        </w:rPr>
        <w:t>.</w:t>
      </w:r>
    </w:p>
    <w:p w:rsidR="00FA5D21" w:rsidRPr="00406C3B" w:rsidRDefault="00FA5D21" w:rsidP="00FA5D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6C3B">
        <w:rPr>
          <w:rFonts w:ascii="Times New Roman" w:hAnsi="Times New Roman"/>
          <w:sz w:val="24"/>
          <w:szCs w:val="24"/>
        </w:rPr>
        <w:t>2. Установить налоговые ставки в размере:</w:t>
      </w:r>
    </w:p>
    <w:p w:rsidR="00FA5D21" w:rsidRPr="00406C3B" w:rsidRDefault="00FA5D21" w:rsidP="00FA5D2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6C3B">
        <w:rPr>
          <w:rFonts w:ascii="Times New Roman" w:hAnsi="Times New Roman"/>
          <w:sz w:val="24"/>
          <w:szCs w:val="24"/>
        </w:rPr>
        <w:t>1) 0,1 процента в отношении:</w:t>
      </w:r>
    </w:p>
    <w:p w:rsidR="00FA5D21" w:rsidRPr="00406C3B" w:rsidRDefault="00FA5D21" w:rsidP="00FA5D2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6C3B">
        <w:rPr>
          <w:rFonts w:ascii="Times New Roman" w:hAnsi="Times New Roman"/>
          <w:sz w:val="24"/>
          <w:szCs w:val="24"/>
        </w:rPr>
        <w:t xml:space="preserve">гаражей и </w:t>
      </w:r>
      <w:proofErr w:type="spellStart"/>
      <w:r w:rsidRPr="00406C3B">
        <w:rPr>
          <w:rFonts w:ascii="Times New Roman" w:hAnsi="Times New Roman"/>
          <w:sz w:val="24"/>
          <w:szCs w:val="24"/>
        </w:rPr>
        <w:t>машино</w:t>
      </w:r>
      <w:proofErr w:type="spellEnd"/>
      <w:r w:rsidRPr="00406C3B">
        <w:rPr>
          <w:rFonts w:ascii="Times New Roman" w:hAnsi="Times New Roman"/>
          <w:sz w:val="24"/>
          <w:szCs w:val="24"/>
        </w:rPr>
        <w:t>-мест;</w:t>
      </w:r>
    </w:p>
    <w:p w:rsidR="00FA5D21" w:rsidRPr="00406C3B" w:rsidRDefault="00FA5D21" w:rsidP="00FA5D2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6C3B">
        <w:rPr>
          <w:rFonts w:ascii="Times New Roman" w:hAnsi="Times New Roman"/>
          <w:sz w:val="24"/>
          <w:szCs w:val="24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FA5D21" w:rsidRPr="00406C3B" w:rsidRDefault="00FA5D21" w:rsidP="00FA5D2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6C3B">
        <w:rPr>
          <w:rFonts w:ascii="Times New Roman" w:hAnsi="Times New Roman"/>
          <w:sz w:val="24"/>
          <w:szCs w:val="24"/>
        </w:rPr>
        <w:t>2) 0,2  процента в отношении:</w:t>
      </w:r>
    </w:p>
    <w:p w:rsidR="00FA5D21" w:rsidRPr="00406C3B" w:rsidRDefault="00FA5D21" w:rsidP="00FA5D2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6C3B">
        <w:rPr>
          <w:rFonts w:ascii="Times New Roman" w:hAnsi="Times New Roman"/>
          <w:sz w:val="24"/>
          <w:szCs w:val="24"/>
        </w:rPr>
        <w:t>квартир;</w:t>
      </w:r>
    </w:p>
    <w:p w:rsidR="00FA5D21" w:rsidRPr="00406C3B" w:rsidRDefault="00FA5D21" w:rsidP="00FA5D2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6C3B">
        <w:rPr>
          <w:rFonts w:ascii="Times New Roman" w:hAnsi="Times New Roman"/>
          <w:sz w:val="24"/>
          <w:szCs w:val="24"/>
        </w:rPr>
        <w:t>комнат;</w:t>
      </w:r>
    </w:p>
    <w:p w:rsidR="00FA5D21" w:rsidRPr="00406C3B" w:rsidRDefault="00FA5D21" w:rsidP="00FA5D2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6C3B">
        <w:rPr>
          <w:rFonts w:ascii="Times New Roman" w:hAnsi="Times New Roman"/>
          <w:sz w:val="24"/>
          <w:szCs w:val="24"/>
        </w:rPr>
        <w:t>3) 0,3 процента в отношении:</w:t>
      </w:r>
    </w:p>
    <w:p w:rsidR="00FA5D21" w:rsidRPr="00406C3B" w:rsidRDefault="00FA5D21" w:rsidP="00FA5D2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6C3B">
        <w:rPr>
          <w:rFonts w:ascii="Times New Roman" w:hAnsi="Times New Roman"/>
          <w:sz w:val="24"/>
          <w:szCs w:val="24"/>
        </w:rPr>
        <w:t xml:space="preserve">жилых домов; </w:t>
      </w:r>
    </w:p>
    <w:p w:rsidR="00FA5D21" w:rsidRPr="00406C3B" w:rsidRDefault="00FA5D21" w:rsidP="00FA5D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6C3B">
        <w:rPr>
          <w:rFonts w:ascii="Times New Roman" w:hAnsi="Times New Roman"/>
          <w:sz w:val="24"/>
          <w:szCs w:val="24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FA5D21" w:rsidRPr="00406C3B" w:rsidRDefault="00FA5D21" w:rsidP="00FA5D2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6C3B">
        <w:rPr>
          <w:rFonts w:ascii="Times New Roman" w:hAnsi="Times New Roman"/>
          <w:sz w:val="24"/>
          <w:szCs w:val="24"/>
        </w:rPr>
        <w:t>единых недвижимых комплексов, в состав которых входит хотя бы одно жилое помещение (жилой дом);</w:t>
      </w:r>
    </w:p>
    <w:p w:rsidR="00FA5D21" w:rsidRPr="00406C3B" w:rsidRDefault="00FA5D21" w:rsidP="00FA5D2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6C3B">
        <w:rPr>
          <w:rFonts w:ascii="Times New Roman" w:hAnsi="Times New Roman"/>
          <w:sz w:val="24"/>
          <w:szCs w:val="24"/>
        </w:rPr>
        <w:t>4) 2 процента в отношении:</w:t>
      </w:r>
    </w:p>
    <w:p w:rsidR="00FA5D21" w:rsidRPr="00406C3B" w:rsidRDefault="00FA5D21" w:rsidP="00FA5D2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6C3B">
        <w:rPr>
          <w:rFonts w:ascii="Times New Roman" w:hAnsi="Times New Roman"/>
          <w:sz w:val="24"/>
          <w:szCs w:val="24"/>
        </w:rPr>
        <w:t>объектов налогообложения, включенных в перечень, определяемый в соответствии с пунктом 7 статьи 378</w:t>
      </w:r>
      <w:r w:rsidRPr="00406C3B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406C3B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 w:rsidRPr="00406C3B">
        <w:rPr>
          <w:rFonts w:ascii="Times New Roman" w:hAnsi="Times New Roman"/>
          <w:sz w:val="24"/>
          <w:szCs w:val="24"/>
        </w:rPr>
        <w:t>Налогового кодекса Российской Федерации;</w:t>
      </w:r>
    </w:p>
    <w:p w:rsidR="00FA5D21" w:rsidRPr="00406C3B" w:rsidRDefault="00FA5D21" w:rsidP="00FA5D2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6C3B">
        <w:rPr>
          <w:rFonts w:ascii="Times New Roman" w:hAnsi="Times New Roman"/>
          <w:sz w:val="24"/>
          <w:szCs w:val="24"/>
        </w:rPr>
        <w:t>объектов налогообложения, предусмотренных абзацем вторым пункта 10 статьи  378</w:t>
      </w:r>
      <w:r w:rsidRPr="00406C3B">
        <w:rPr>
          <w:rFonts w:ascii="Times New Roman" w:hAnsi="Times New Roman"/>
          <w:sz w:val="24"/>
          <w:szCs w:val="24"/>
          <w:vertAlign w:val="superscript"/>
        </w:rPr>
        <w:t>2</w:t>
      </w:r>
      <w:r w:rsidRPr="00406C3B">
        <w:rPr>
          <w:rFonts w:ascii="Times New Roman" w:hAnsi="Times New Roman"/>
          <w:b/>
          <w:sz w:val="24"/>
          <w:szCs w:val="24"/>
          <w:vertAlign w:val="superscript"/>
        </w:rPr>
        <w:t xml:space="preserve">  </w:t>
      </w:r>
      <w:r w:rsidRPr="00406C3B">
        <w:rPr>
          <w:rFonts w:ascii="Times New Roman" w:hAnsi="Times New Roman"/>
          <w:sz w:val="24"/>
          <w:szCs w:val="24"/>
        </w:rPr>
        <w:t>Налогового кодекса Российской Федерации;</w:t>
      </w:r>
    </w:p>
    <w:p w:rsidR="00FA5D21" w:rsidRPr="00406C3B" w:rsidRDefault="00FA5D21" w:rsidP="00FA5D2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6C3B">
        <w:rPr>
          <w:rFonts w:ascii="Times New Roman" w:hAnsi="Times New Roman"/>
          <w:sz w:val="24"/>
          <w:szCs w:val="24"/>
        </w:rPr>
        <w:t>объектов налогообложения, кадастровая стоимость каждого из которых превышает 300 миллионов рублей;</w:t>
      </w:r>
    </w:p>
    <w:p w:rsidR="00FA5D21" w:rsidRPr="00406C3B" w:rsidRDefault="00FA5D21" w:rsidP="00FA5D2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6C3B">
        <w:rPr>
          <w:rFonts w:ascii="Times New Roman" w:hAnsi="Times New Roman"/>
          <w:sz w:val="24"/>
          <w:szCs w:val="24"/>
        </w:rPr>
        <w:t>5) 0,5 процент</w:t>
      </w:r>
      <w:r>
        <w:rPr>
          <w:rFonts w:ascii="Times New Roman" w:hAnsi="Times New Roman"/>
          <w:sz w:val="24"/>
          <w:szCs w:val="24"/>
        </w:rPr>
        <w:t>а</w:t>
      </w:r>
      <w:r w:rsidRPr="00406C3B">
        <w:rPr>
          <w:rFonts w:ascii="Times New Roman" w:hAnsi="Times New Roman"/>
          <w:sz w:val="24"/>
          <w:szCs w:val="24"/>
        </w:rPr>
        <w:t xml:space="preserve"> в отношении прочих объектов налогообложения.</w:t>
      </w:r>
    </w:p>
    <w:p w:rsidR="00FA5D21" w:rsidRPr="00C74923" w:rsidRDefault="00FA5D21" w:rsidP="00FA5D2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C74923">
        <w:rPr>
          <w:rFonts w:ascii="Times New Roman" w:hAnsi="Times New Roman"/>
          <w:sz w:val="24"/>
          <w:szCs w:val="24"/>
        </w:rPr>
        <w:t xml:space="preserve">Признать утратившим силу Решение </w:t>
      </w:r>
      <w:proofErr w:type="spellStart"/>
      <w:r w:rsidRPr="00C74923">
        <w:rPr>
          <w:rFonts w:ascii="Times New Roman" w:hAnsi="Times New Roman"/>
          <w:sz w:val="24"/>
          <w:szCs w:val="24"/>
        </w:rPr>
        <w:t>Киятского</w:t>
      </w:r>
      <w:proofErr w:type="spellEnd"/>
      <w:r w:rsidRPr="00C74923">
        <w:rPr>
          <w:rFonts w:ascii="Times New Roman" w:hAnsi="Times New Roman"/>
          <w:sz w:val="24"/>
          <w:szCs w:val="24"/>
        </w:rPr>
        <w:t xml:space="preserve"> сельского Совета от 2.11.2009 года №1-51 «О налогах на имущество физических лиц» (в редакции решения </w:t>
      </w:r>
      <w:proofErr w:type="spellStart"/>
      <w:r w:rsidRPr="00C74923">
        <w:rPr>
          <w:rFonts w:ascii="Times New Roman" w:hAnsi="Times New Roman"/>
          <w:sz w:val="24"/>
          <w:szCs w:val="24"/>
        </w:rPr>
        <w:t>Киятского</w:t>
      </w:r>
      <w:proofErr w:type="spellEnd"/>
      <w:r w:rsidRPr="00C74923">
        <w:rPr>
          <w:rFonts w:ascii="Times New Roman" w:hAnsi="Times New Roman"/>
          <w:sz w:val="24"/>
          <w:szCs w:val="24"/>
        </w:rPr>
        <w:t xml:space="preserve"> сельского Совета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C74923">
        <w:rPr>
          <w:rFonts w:ascii="Times New Roman" w:hAnsi="Times New Roman"/>
          <w:sz w:val="24"/>
          <w:szCs w:val="24"/>
        </w:rPr>
        <w:t>12.04.2010 года №3-58</w:t>
      </w:r>
      <w:r w:rsidRPr="00C74923">
        <w:rPr>
          <w:rFonts w:ascii="Times New Roman" w:hAnsi="Times New Roman"/>
          <w:b/>
          <w:bCs/>
          <w:sz w:val="24"/>
          <w:szCs w:val="24"/>
        </w:rPr>
        <w:t xml:space="preserve">). </w:t>
      </w:r>
    </w:p>
    <w:p w:rsidR="00FA5D21" w:rsidRPr="00406C3B" w:rsidRDefault="00FA5D21" w:rsidP="00FA5D2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06C3B">
        <w:rPr>
          <w:rFonts w:ascii="Times New Roman" w:hAnsi="Times New Roman"/>
          <w:sz w:val="24"/>
          <w:szCs w:val="24"/>
        </w:rPr>
        <w:t xml:space="preserve">4. </w:t>
      </w:r>
      <w:r w:rsidRPr="00406C3B">
        <w:rPr>
          <w:rFonts w:ascii="Times New Roman" w:hAnsi="Times New Roman" w:cs="Times New Roman"/>
          <w:sz w:val="24"/>
          <w:szCs w:val="24"/>
        </w:rPr>
        <w:t xml:space="preserve"> Настоящее решение вступает в силу с 1 января 2015 года и не ранее чем по истечении одного месяца со дня его официального обнародования.</w:t>
      </w:r>
    </w:p>
    <w:p w:rsidR="00FA5D21" w:rsidRPr="00406C3B" w:rsidRDefault="00FA5D21" w:rsidP="00FA5D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6C3B">
        <w:rPr>
          <w:rFonts w:ascii="Times New Roman" w:hAnsi="Times New Roman" w:cs="Times New Roman"/>
          <w:sz w:val="24"/>
          <w:szCs w:val="24"/>
        </w:rPr>
        <w:lastRenderedPageBreak/>
        <w:t>5. Обнародовать данное решение в срок до 1 декабря 2014 года на специально оборудованных информационных стендах</w:t>
      </w:r>
      <w:r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Pr="00406C3B">
        <w:rPr>
          <w:rFonts w:ascii="Times New Roman" w:hAnsi="Times New Roman" w:cs="Times New Roman"/>
          <w:sz w:val="24"/>
          <w:szCs w:val="24"/>
        </w:rPr>
        <w:t>и разместить на официальном сайте Буинского муниципального района в информационно-телекоммуникационной сети Интернет.</w:t>
      </w:r>
    </w:p>
    <w:p w:rsidR="00FA5D21" w:rsidRPr="00406C3B" w:rsidRDefault="00FA5D21" w:rsidP="00FA5D21">
      <w:pPr>
        <w:pStyle w:val="a3"/>
        <w:spacing w:line="242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FA5D21" w:rsidRPr="00406C3B" w:rsidRDefault="00FA5D21" w:rsidP="00FA5D21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406C3B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406C3B">
        <w:rPr>
          <w:rFonts w:ascii="Times New Roman" w:hAnsi="Times New Roman"/>
          <w:sz w:val="24"/>
          <w:szCs w:val="24"/>
        </w:rPr>
        <w:t>Киятского</w:t>
      </w:r>
      <w:proofErr w:type="spellEnd"/>
      <w:r w:rsidRPr="00406C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5D21" w:rsidRPr="00406C3B" w:rsidRDefault="00FA5D21" w:rsidP="00FA5D21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406C3B">
        <w:rPr>
          <w:rFonts w:ascii="Times New Roman" w:hAnsi="Times New Roman" w:cs="Times New Roman"/>
          <w:sz w:val="24"/>
          <w:szCs w:val="24"/>
        </w:rPr>
        <w:t>сельского  поселения</w:t>
      </w:r>
    </w:p>
    <w:p w:rsidR="00FA5D21" w:rsidRPr="00406C3B" w:rsidRDefault="00FA5D21" w:rsidP="00FA5D21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406C3B">
        <w:rPr>
          <w:rFonts w:ascii="Times New Roman" w:hAnsi="Times New Roman" w:cs="Times New Roman"/>
          <w:sz w:val="24"/>
          <w:szCs w:val="24"/>
        </w:rPr>
        <w:t xml:space="preserve">Буинского муниципального района РТ                                          </w:t>
      </w:r>
      <w:proofErr w:type="spellStart"/>
      <w:r w:rsidRPr="00406C3B">
        <w:rPr>
          <w:rFonts w:ascii="Times New Roman" w:hAnsi="Times New Roman" w:cs="Times New Roman"/>
          <w:sz w:val="24"/>
          <w:szCs w:val="24"/>
        </w:rPr>
        <w:t>М.М.Храмова</w:t>
      </w:r>
      <w:proofErr w:type="spellEnd"/>
    </w:p>
    <w:p w:rsidR="00FA5D21" w:rsidRPr="00406C3B" w:rsidRDefault="00FA5D21" w:rsidP="00FA5D21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406C3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A5D21" w:rsidRPr="00406C3B" w:rsidRDefault="00FA5D21" w:rsidP="00FA5D21">
      <w:pPr>
        <w:pStyle w:val="a3"/>
        <w:spacing w:line="242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FA5D21" w:rsidRPr="003D7E5B" w:rsidRDefault="00FA5D21" w:rsidP="00FA5D2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E3881" w:rsidRDefault="007E3881"/>
    <w:sectPr w:rsidR="007E3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C2035"/>
    <w:multiLevelType w:val="hybridMultilevel"/>
    <w:tmpl w:val="84FC49FA"/>
    <w:lvl w:ilvl="0" w:tplc="243EE94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D21"/>
    <w:rsid w:val="007E3881"/>
    <w:rsid w:val="00850AD4"/>
    <w:rsid w:val="00FA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A5D21"/>
    <w:pPr>
      <w:ind w:left="720"/>
      <w:contextualSpacing/>
    </w:pPr>
  </w:style>
  <w:style w:type="paragraph" w:customStyle="1" w:styleId="ConsPlusNormal">
    <w:name w:val="ConsPlusNormal"/>
    <w:rsid w:val="00FA5D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A5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5D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A5D21"/>
    <w:pPr>
      <w:ind w:left="720"/>
      <w:contextualSpacing/>
    </w:pPr>
  </w:style>
  <w:style w:type="paragraph" w:customStyle="1" w:styleId="ConsPlusNormal">
    <w:name w:val="ConsPlusNormal"/>
    <w:rsid w:val="00FA5D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A5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5D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DA1A62FCFA06925984FDBC91BCEC9936B5242C1AE1E2AD2D1341D85E31F897EC177E1F6g8X1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it_отдел</cp:lastModifiedBy>
  <cp:revision>2</cp:revision>
  <dcterms:created xsi:type="dcterms:W3CDTF">2014-11-19T08:18:00Z</dcterms:created>
  <dcterms:modified xsi:type="dcterms:W3CDTF">2014-11-19T08:18:00Z</dcterms:modified>
</cp:coreProperties>
</file>