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97" w:rsidRDefault="00131697" w:rsidP="00131697">
      <w:pPr>
        <w:spacing w:line="240" w:lineRule="auto"/>
        <w:ind w:firstLine="851"/>
        <w:jc w:val="both"/>
        <w:rPr>
          <w:rFonts w:ascii="Garamond" w:hAnsi="Garamond" w:cs="Calibri"/>
          <w:b/>
          <w:color w:val="000000" w:themeColor="text1"/>
          <w:sz w:val="32"/>
          <w:szCs w:val="32"/>
        </w:rPr>
      </w:pPr>
      <w:r>
        <w:rPr>
          <w:rFonts w:ascii="Garamond" w:hAnsi="Garamond" w:cs="Calibri"/>
          <w:b/>
          <w:color w:val="000000" w:themeColor="text1"/>
          <w:sz w:val="32"/>
          <w:szCs w:val="32"/>
        </w:rPr>
        <w:t>20 мая Россия отмечается День Волги.</w:t>
      </w:r>
    </w:p>
    <w:p w:rsidR="00131697" w:rsidRDefault="00131697" w:rsidP="00131697">
      <w:pPr>
        <w:spacing w:line="240" w:lineRule="auto"/>
        <w:ind w:firstLine="851"/>
        <w:jc w:val="both"/>
        <w:rPr>
          <w:rFonts w:ascii="Garamond" w:hAnsi="Garamond" w:cs="Calibri"/>
          <w:color w:val="000000" w:themeColor="text1"/>
          <w:sz w:val="32"/>
          <w:szCs w:val="32"/>
        </w:rPr>
      </w:pPr>
      <w:r>
        <w:rPr>
          <w:rFonts w:ascii="Garamond" w:hAnsi="Garamond" w:cs="Calibri"/>
          <w:color w:val="000000" w:themeColor="text1"/>
          <w:sz w:val="32"/>
          <w:szCs w:val="32"/>
        </w:rPr>
        <w:t>Волга крупнейшая водная артерия России. Одна из самых больших рек Европы.</w:t>
      </w:r>
      <w:r w:rsidR="00E31BCC">
        <w:rPr>
          <w:rFonts w:ascii="Garamond" w:hAnsi="Garamond" w:cs="Calibri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p w:rsidR="00131697" w:rsidRPr="00131697" w:rsidRDefault="00131697" w:rsidP="00E31BCC">
      <w:pPr>
        <w:spacing w:line="240" w:lineRule="auto"/>
        <w:ind w:firstLine="851"/>
        <w:jc w:val="both"/>
        <w:rPr>
          <w:rFonts w:ascii="Garamond" w:hAnsi="Garamond" w:cs="Calibri"/>
          <w:color w:val="000000" w:themeColor="text1"/>
          <w:sz w:val="32"/>
          <w:szCs w:val="32"/>
        </w:rPr>
      </w:pPr>
      <w:r w:rsidRPr="00131697">
        <w:rPr>
          <w:rFonts w:ascii="Garamond" w:hAnsi="Garamond" w:cs="Calibri"/>
          <w:color w:val="000000" w:themeColor="text1"/>
          <w:sz w:val="32"/>
          <w:szCs w:val="32"/>
        </w:rPr>
        <w:t xml:space="preserve">В честь празднования </w:t>
      </w:r>
      <w:r>
        <w:rPr>
          <w:rFonts w:ascii="Garamond" w:hAnsi="Garamond" w:cs="Calibri"/>
          <w:color w:val="000000" w:themeColor="text1"/>
          <w:sz w:val="32"/>
          <w:szCs w:val="32"/>
        </w:rPr>
        <w:t xml:space="preserve">дня великой реки </w:t>
      </w:r>
      <w:r w:rsidRPr="00131697">
        <w:rPr>
          <w:rFonts w:ascii="Garamond" w:hAnsi="Garamond" w:cs="Calibri"/>
          <w:color w:val="000000" w:themeColor="text1"/>
          <w:sz w:val="32"/>
          <w:szCs w:val="32"/>
        </w:rPr>
        <w:t xml:space="preserve">Казанская межрайонная природоохранная прокуратура Волжской межрегиональной природоохранной прокуратуры представляет вниманию читателей </w:t>
      </w:r>
      <w:r>
        <w:rPr>
          <w:rFonts w:ascii="Garamond" w:hAnsi="Garamond" w:cs="Calibri"/>
          <w:color w:val="000000" w:themeColor="text1"/>
          <w:sz w:val="32"/>
          <w:szCs w:val="32"/>
        </w:rPr>
        <w:t>информа</w:t>
      </w:r>
      <w:r w:rsidR="00E31BCC">
        <w:rPr>
          <w:rFonts w:ascii="Garamond" w:hAnsi="Garamond" w:cs="Calibri"/>
          <w:color w:val="000000" w:themeColor="text1"/>
          <w:sz w:val="32"/>
          <w:szCs w:val="32"/>
        </w:rPr>
        <w:t>цию о проблемах водных ресурсов, мерах и результатах</w:t>
      </w:r>
      <w:r w:rsidRPr="00131697">
        <w:rPr>
          <w:rFonts w:ascii="Garamond" w:hAnsi="Garamond" w:cs="Calibri"/>
          <w:color w:val="000000" w:themeColor="text1"/>
          <w:sz w:val="32"/>
          <w:szCs w:val="32"/>
        </w:rPr>
        <w:t xml:space="preserve"> работы ведомства в сфере охраны водных объектов. </w:t>
      </w:r>
    </w:p>
    <w:p w:rsidR="00BA77E7" w:rsidRPr="009F10B0" w:rsidRDefault="0022706A" w:rsidP="009F10B0">
      <w:pPr>
        <w:spacing w:line="240" w:lineRule="auto"/>
        <w:ind w:firstLine="851"/>
        <w:jc w:val="both"/>
        <w:rPr>
          <w:rFonts w:ascii="Garamond" w:hAnsi="Garamond" w:cs="Calibri"/>
          <w:color w:val="000000" w:themeColor="text1"/>
          <w:sz w:val="32"/>
          <w:szCs w:val="32"/>
        </w:rPr>
      </w:pPr>
      <w:r w:rsidRPr="009F10B0">
        <w:rPr>
          <w:rFonts w:ascii="Garamond" w:hAnsi="Garamond" w:cs="Calibri"/>
          <w:b/>
          <w:color w:val="000000" w:themeColor="text1"/>
          <w:sz w:val="32"/>
          <w:szCs w:val="32"/>
        </w:rPr>
        <w:t>Водные объекты России</w:t>
      </w:r>
      <w:r w:rsidRPr="009F10B0">
        <w:rPr>
          <w:rFonts w:ascii="Garamond" w:hAnsi="Garamond" w:cs="Calibri"/>
          <w:color w:val="000000" w:themeColor="text1"/>
          <w:sz w:val="32"/>
          <w:szCs w:val="32"/>
        </w:rPr>
        <w:t xml:space="preserve"> – это 2, 5млн. больших и малых рек, 2 млн. озер, не считая водохранилищ и морей. В соответствии с Водным Кодексом Российской Федерации по берегам водоемов устанавливается </w:t>
      </w:r>
      <w:proofErr w:type="spellStart"/>
      <w:r w:rsidRPr="009F10B0">
        <w:rPr>
          <w:rFonts w:ascii="Garamond" w:hAnsi="Garamond" w:cs="Calibri"/>
          <w:color w:val="000000" w:themeColor="text1"/>
          <w:sz w:val="32"/>
          <w:szCs w:val="32"/>
        </w:rPr>
        <w:t>водоохранная</w:t>
      </w:r>
      <w:proofErr w:type="spellEnd"/>
      <w:r w:rsidRPr="009F10B0">
        <w:rPr>
          <w:rFonts w:ascii="Garamond" w:hAnsi="Garamond" w:cs="Calibri"/>
          <w:color w:val="000000" w:themeColor="text1"/>
          <w:sz w:val="32"/>
          <w:szCs w:val="32"/>
        </w:rPr>
        <w:t xml:space="preserve"> зона с особыми правилами поведения внутри неё. </w:t>
      </w:r>
    </w:p>
    <w:p w:rsidR="0022706A" w:rsidRPr="009F10B0" w:rsidRDefault="0022706A" w:rsidP="009F10B0">
      <w:pPr>
        <w:spacing w:line="240" w:lineRule="auto"/>
        <w:ind w:firstLine="851"/>
        <w:jc w:val="both"/>
        <w:rPr>
          <w:rFonts w:ascii="Garamond" w:hAnsi="Garamond" w:cs="Calibri"/>
          <w:color w:val="000000" w:themeColor="text1"/>
          <w:sz w:val="32"/>
          <w:szCs w:val="32"/>
        </w:rPr>
      </w:pPr>
      <w:r w:rsidRPr="009F10B0">
        <w:rPr>
          <w:rFonts w:ascii="Garamond" w:hAnsi="Garamond" w:cs="Calibri"/>
          <w:b/>
          <w:color w:val="000000" w:themeColor="text1"/>
          <w:sz w:val="32"/>
          <w:szCs w:val="32"/>
        </w:rPr>
        <w:t>Понятие «</w:t>
      </w:r>
      <w:proofErr w:type="spellStart"/>
      <w:r w:rsidRPr="009F10B0">
        <w:rPr>
          <w:rFonts w:ascii="Garamond" w:hAnsi="Garamond" w:cs="Calibri"/>
          <w:b/>
          <w:color w:val="000000" w:themeColor="text1"/>
          <w:sz w:val="32"/>
          <w:szCs w:val="32"/>
        </w:rPr>
        <w:t>водоохранная</w:t>
      </w:r>
      <w:proofErr w:type="spellEnd"/>
      <w:r w:rsidRPr="009F10B0">
        <w:rPr>
          <w:rFonts w:ascii="Garamond" w:hAnsi="Garamond" w:cs="Calibri"/>
          <w:b/>
          <w:color w:val="000000" w:themeColor="text1"/>
          <w:sz w:val="32"/>
          <w:szCs w:val="32"/>
        </w:rPr>
        <w:t xml:space="preserve"> зона»</w:t>
      </w:r>
      <w:r w:rsidRPr="009F10B0">
        <w:rPr>
          <w:rFonts w:ascii="Garamond" w:hAnsi="Garamond" w:cs="Calibri"/>
          <w:color w:val="000000" w:themeColor="text1"/>
          <w:sz w:val="32"/>
          <w:szCs w:val="32"/>
        </w:rPr>
        <w:t xml:space="preserve"> появилось в нашей стране в 1936 году. Тогда по берегам крупных рек была запрещена вырубка лесов. Ширина запретной территории колебалась от 4 до 20 км. </w:t>
      </w:r>
    </w:p>
    <w:p w:rsidR="0022706A" w:rsidRPr="009F10B0" w:rsidRDefault="0022706A" w:rsidP="009F10B0">
      <w:pPr>
        <w:spacing w:line="240" w:lineRule="auto"/>
        <w:ind w:firstLine="851"/>
        <w:jc w:val="both"/>
        <w:rPr>
          <w:rFonts w:ascii="Garamond" w:hAnsi="Garamond" w:cs="Calibri"/>
          <w:color w:val="000000" w:themeColor="text1"/>
          <w:sz w:val="32"/>
          <w:szCs w:val="32"/>
        </w:rPr>
      </w:pPr>
      <w:r w:rsidRPr="009F10B0">
        <w:rPr>
          <w:rFonts w:ascii="Garamond" w:hAnsi="Garamond" w:cs="Calibri"/>
          <w:color w:val="000000" w:themeColor="text1"/>
          <w:sz w:val="32"/>
          <w:szCs w:val="32"/>
        </w:rPr>
        <w:t xml:space="preserve">Что такое </w:t>
      </w:r>
      <w:proofErr w:type="spellStart"/>
      <w:r w:rsidRPr="009F10B0">
        <w:rPr>
          <w:rFonts w:ascii="Garamond" w:hAnsi="Garamond" w:cs="Calibri"/>
          <w:color w:val="000000" w:themeColor="text1"/>
          <w:sz w:val="32"/>
          <w:szCs w:val="32"/>
        </w:rPr>
        <w:t>водоохранная</w:t>
      </w:r>
      <w:proofErr w:type="spellEnd"/>
      <w:r w:rsidRPr="009F10B0">
        <w:rPr>
          <w:rFonts w:ascii="Garamond" w:hAnsi="Garamond" w:cs="Calibri"/>
          <w:color w:val="000000" w:themeColor="text1"/>
          <w:sz w:val="32"/>
          <w:szCs w:val="32"/>
        </w:rPr>
        <w:t xml:space="preserve"> зона в современной трактовке объясняет Водный кодекс РФ, принятый в 2007 году. Закон гласит, что хозяйственная деятельность людей на берегах водоемов загрязняет их и истощает животный и растительный мир. Для сохранения богатств природы берега водных объектов объявлены землями с ограниченным правовым режимом. Параметрам этих земель посвящена статья 65 Водного кодекса Российской Федерации. </w:t>
      </w:r>
    </w:p>
    <w:p w:rsidR="0022706A" w:rsidRPr="0022706A" w:rsidRDefault="0022706A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22706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В границах </w:t>
      </w:r>
      <w:r w:rsidRPr="0022706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Республики Татарстан</w:t>
      </w:r>
      <w:r w:rsidRPr="0022706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расположены </w:t>
      </w:r>
      <w:r w:rsidRPr="0022706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Куйбышевское водохранилище</w:t>
      </w:r>
      <w:r w:rsidRPr="0022706A">
        <w:rPr>
          <w:rFonts w:ascii="Garamond" w:eastAsia="Calibri" w:hAnsi="Garamond" w:cs="Times New Roman"/>
          <w:color w:val="000000" w:themeColor="text1"/>
          <w:sz w:val="32"/>
          <w:szCs w:val="32"/>
        </w:rPr>
        <w:t>, протяженность границ ко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торого составляет около </w:t>
      </w:r>
      <w:r w:rsidRPr="009F10B0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1400 км,</w:t>
      </w:r>
      <w:r w:rsidRPr="0022706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а также </w:t>
      </w:r>
      <w:r w:rsidRPr="0022706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Нижнекамское водохранилище</w:t>
      </w:r>
      <w:r w:rsidRPr="0022706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, протяженность 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границ которого - около </w:t>
      </w:r>
      <w:r w:rsidRPr="009F10B0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400 км.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</w:t>
      </w:r>
    </w:p>
    <w:p w:rsidR="0022706A" w:rsidRPr="0022706A" w:rsidRDefault="0022706A" w:rsidP="009F10B0">
      <w:pPr>
        <w:widowControl w:val="0"/>
        <w:suppressAutoHyphens/>
        <w:spacing w:after="0" w:line="240" w:lineRule="auto"/>
        <w:ind w:firstLine="851"/>
        <w:jc w:val="both"/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</w:pPr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 xml:space="preserve">2016 год </w:t>
      </w:r>
      <w:r w:rsidRPr="009F10B0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>в Республике Татарстан был объявлен «Годом</w:t>
      </w:r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 xml:space="preserve"> </w:t>
      </w:r>
      <w:proofErr w:type="spellStart"/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>водоохранных</w:t>
      </w:r>
      <w:proofErr w:type="spellEnd"/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 xml:space="preserve"> зон».</w:t>
      </w:r>
    </w:p>
    <w:p w:rsidR="0022706A" w:rsidRPr="0022706A" w:rsidRDefault="0022706A" w:rsidP="009F10B0">
      <w:pPr>
        <w:widowControl w:val="0"/>
        <w:suppressAutoHyphens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</w:pP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В рамках мероприятия в республике проведен целый комплекс мер направленных на приведение </w:t>
      </w:r>
      <w:proofErr w:type="spellStart"/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водоохранных</w:t>
      </w:r>
      <w:proofErr w:type="spellEnd"/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 зон в нормативное состояние.</w:t>
      </w:r>
    </w:p>
    <w:p w:rsidR="0022706A" w:rsidRPr="0022706A" w:rsidRDefault="0022706A" w:rsidP="009F10B0">
      <w:pPr>
        <w:widowControl w:val="0"/>
        <w:suppressAutoHyphens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</w:pP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Среди таких мер можно особо выделить трудоемкую работу по </w:t>
      </w:r>
      <w:r w:rsidR="0040641A" w:rsidRPr="009F10B0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их 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постановке на государственный кадастровый учет, массовые обследования берегов, работа по привлечению правонарушителей к установленной законом ответственности, а также надзор за реальным устранением нарушений и обеспечением прав граждан на пользование природными объектами.</w:t>
      </w:r>
    </w:p>
    <w:p w:rsidR="0022706A" w:rsidRPr="0022706A" w:rsidRDefault="0022706A" w:rsidP="009F10B0">
      <w:pPr>
        <w:widowControl w:val="0"/>
        <w:suppressAutoHyphens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</w:pP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Учитывая весь объем необходимых мероприятий удалось завершить обследование береговой полосы Куйбышевского водохранилища до наступления н</w:t>
      </w:r>
      <w:r w:rsidR="0040641A" w:rsidRPr="009F10B0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еблагоприятных погодных условий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.</w:t>
      </w:r>
    </w:p>
    <w:p w:rsidR="0022706A" w:rsidRPr="0022706A" w:rsidRDefault="0022706A" w:rsidP="009F10B0">
      <w:pPr>
        <w:widowControl w:val="0"/>
        <w:suppressAutoHyphens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</w:pP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Всего в рамках «Года </w:t>
      </w:r>
      <w:proofErr w:type="spellStart"/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>водоохранных</w:t>
      </w:r>
      <w:proofErr w:type="spellEnd"/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 зон в Республике Татарстан» природоохранной прокуратурой и поднадзорными ей контролирующими органами выявлено </w:t>
      </w:r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>2447 нарушений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, в целях устранения которых </w:t>
      </w:r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>внесено 43 представления, 184 предписаний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, к административной ответственности привлечено </w:t>
      </w:r>
      <w:r w:rsidRPr="0022706A">
        <w:rPr>
          <w:rFonts w:ascii="Garamond" w:eastAsia="Times New Roman" w:hAnsi="Garamond" w:cs="Times New Roman"/>
          <w:b/>
          <w:color w:val="000000" w:themeColor="text1"/>
          <w:kern w:val="1"/>
          <w:sz w:val="32"/>
          <w:szCs w:val="32"/>
          <w:lang w:eastAsia="zh-CN"/>
        </w:rPr>
        <w:t>1198 виновных лиц,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t xml:space="preserve"> опротестовано 112 противоречащих законодательству правовых актов, </w:t>
      </w:r>
      <w:r w:rsidRPr="0022706A">
        <w:rPr>
          <w:rFonts w:ascii="Garamond" w:eastAsia="Times New Roman" w:hAnsi="Garamond" w:cs="Times New Roman"/>
          <w:color w:val="000000" w:themeColor="text1"/>
          <w:kern w:val="1"/>
          <w:sz w:val="32"/>
          <w:szCs w:val="32"/>
          <w:lang w:eastAsia="zh-CN"/>
        </w:rPr>
        <w:lastRenderedPageBreak/>
        <w:t xml:space="preserve">в суды направлено 85 исковых заявлений, демонтировано 365 незаконных объектов, тем самым обеспечен свободный доступ граждан к береговым полосам водных объектов и их акватории. </w:t>
      </w:r>
    </w:p>
    <w:p w:rsidR="0040641A" w:rsidRPr="0040641A" w:rsidRDefault="0040641A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Всего по результатам проделанной работы и принятых Казанской межрайонной природоохранной прокуратурой с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ведения о </w:t>
      </w:r>
      <w:proofErr w:type="spellStart"/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водоохранных</w:t>
      </w:r>
      <w:proofErr w:type="spellEnd"/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зонах и прибрежных защитных полосах</w:t>
      </w:r>
      <w:r w:rsidR="009F10B0"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,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как о зонах с особыми условиями использования указанных водохранилищ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полностью (100%)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внесены в государственный кадастр недвижимости, кроме того, 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в 2016-2017 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годах границы береговой линии Куйбышевского и Нижнекамского водохранилищ были определены, сведения о них внесены в Единый государственный реестр недвижимости.</w:t>
      </w:r>
    </w:p>
    <w:p w:rsidR="0040641A" w:rsidRPr="0040641A" w:rsidRDefault="0040641A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На территории Республики Татарстан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более 15 тысяч водных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объектов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 xml:space="preserve">протяженность </w:t>
      </w:r>
      <w:proofErr w:type="spellStart"/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водоохранных</w:t>
      </w:r>
      <w:proofErr w:type="spellEnd"/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 xml:space="preserve"> зон и прибрежных защитных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полос, которых составляет около 44 тыс. км.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В настоящее время установлено на местности и поставлено на государственный кадастровый учет как зоны с особыми 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условиями использования более </w:t>
      </w:r>
      <w:r w:rsidRPr="009F10B0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 xml:space="preserve">21,5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тыс. км или о</w:t>
      </w:r>
      <w:r w:rsidRPr="009F10B0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 xml:space="preserve">коло 48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%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водоохранных</w:t>
      </w:r>
      <w:proofErr w:type="spellEnd"/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зон и прибрежных защитных полос.</w:t>
      </w:r>
    </w:p>
    <w:p w:rsidR="0040641A" w:rsidRPr="0040641A" w:rsidRDefault="0040641A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Начиная 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с 201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3 года по настоящее время природоохранной прокуратурой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в отношении региональных водных объектов в суд предъявлено </w:t>
      </w:r>
      <w:r w:rsidRPr="009F10B0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 xml:space="preserve">70 </w:t>
      </w:r>
      <w:r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заявлений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о возложении на орган государственной власти обязанности по определению, постановке на государственный кадастровый учет и установлению на местности границ </w:t>
      </w:r>
      <w:proofErr w:type="spellStart"/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водоохранных</w:t>
      </w:r>
      <w:proofErr w:type="spellEnd"/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зон и прибрежно-защитных полос. </w:t>
      </w:r>
    </w:p>
    <w:p w:rsidR="0040641A" w:rsidRPr="0040641A" w:rsidRDefault="0040641A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Во исполнение решений судов </w:t>
      </w:r>
      <w:r w:rsidR="009F10B0"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государственным органом про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вед</w:t>
      </w:r>
      <w:r w:rsidR="009F10B0"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>е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ны работы по определению и постановке на кадастровый учет границ водных объектов, в настоящее время </w:t>
      </w:r>
      <w:r w:rsidR="009F10B0"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организована </w:t>
      </w:r>
      <w:r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работа по установлению специальных информационных знаков на местности.</w:t>
      </w:r>
    </w:p>
    <w:p w:rsidR="0022706A" w:rsidRPr="009F10B0" w:rsidRDefault="009F10B0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b/>
          <w:color w:val="000000" w:themeColor="text1"/>
          <w:sz w:val="32"/>
          <w:szCs w:val="32"/>
        </w:rPr>
      </w:pP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Кроме того, </w:t>
      </w:r>
      <w:r w:rsidR="0040641A"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Министерством экологии и природных ресурсов </w:t>
      </w: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Республики Татарстан </w:t>
      </w:r>
      <w:r w:rsidR="0040641A"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на период с 2019 по 2022 запланировано проведение работ по определению, постановке на кадастровый учет и установлению на местности границ </w:t>
      </w:r>
      <w:proofErr w:type="spellStart"/>
      <w:r w:rsidR="0040641A"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>водоохранных</w:t>
      </w:r>
      <w:proofErr w:type="spellEnd"/>
      <w:r w:rsidR="0040641A" w:rsidRPr="0040641A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 зон и прибрежных защитных полос в отношении </w:t>
      </w:r>
      <w:r w:rsidR="0040641A" w:rsidRPr="0040641A">
        <w:rPr>
          <w:rFonts w:ascii="Garamond" w:eastAsia="Calibri" w:hAnsi="Garamond" w:cs="Times New Roman"/>
          <w:b/>
          <w:color w:val="000000" w:themeColor="text1"/>
          <w:sz w:val="32"/>
          <w:szCs w:val="32"/>
        </w:rPr>
        <w:t>108 водных объектов.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Казанской межрайонной природоохранной прокуратурой в ходе надзорной деятельности выявляются многочисленные факты формирования земельных участков с занятием акватории водных объектов. 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b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b/>
          <w:color w:val="000000" w:themeColor="text1"/>
          <w:sz w:val="32"/>
          <w:szCs w:val="32"/>
        </w:rPr>
        <w:t>Так, например, В Республике Татарстан по исковому заявлению природоохранной прокуратуры освобождены более 7 гектар акватории Куйбышевского водохранилища.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>В ходе проверки ведомством выявлен факт незаконного формирования земельных участков с занятием части акватории Куйбышевского водохранилища.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b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По результатам мероприятий, проведенных прокуратурой с привлечением специалистов Управления </w:t>
      </w:r>
      <w:proofErr w:type="spellStart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>Росреестра</w:t>
      </w:r>
      <w:proofErr w:type="spellEnd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 по Республике Татарстан, установлен факт наложения земельных участков на акваторию Куйбышевского водохранилища на общей площади более </w:t>
      </w:r>
      <w:r w:rsidRPr="009F10B0">
        <w:rPr>
          <w:rFonts w:ascii="Garamond" w:hAnsi="Garamond" w:cs="Times New Roman"/>
          <w:b/>
          <w:color w:val="000000" w:themeColor="text1"/>
          <w:sz w:val="32"/>
          <w:szCs w:val="32"/>
        </w:rPr>
        <w:t>7 гектар (71,709кв.м.).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Выявленные нарушения послужили основанием для внесения прокуратурой в Исполнительный комитет муниципального образования </w:t>
      </w:r>
      <w:proofErr w:type="spellStart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>г.Казани</w:t>
      </w:r>
      <w:proofErr w:type="spellEnd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 представления. В связи с длительным непринятием муниципальным органом действенных мер по исключению сведений о данных земельных участках из Единого государственного реестра недвижимости прокуратурой в суд предъявлены исковые заявления.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>Судом требования прокурора удовлетворены в полном объеме, приняты решения об исключении сведений о границах указанных земельных участков из Единого государственного реестра недвижимости.</w:t>
      </w:r>
    </w:p>
    <w:p w:rsidR="009F10B0" w:rsidRPr="009F10B0" w:rsidRDefault="009F10B0" w:rsidP="009F10B0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В настоящее время Управлением </w:t>
      </w:r>
      <w:proofErr w:type="spellStart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>Росреестра</w:t>
      </w:r>
      <w:proofErr w:type="spellEnd"/>
      <w:r w:rsidRPr="009F10B0">
        <w:rPr>
          <w:rFonts w:ascii="Garamond" w:hAnsi="Garamond" w:cs="Times New Roman"/>
          <w:color w:val="000000" w:themeColor="text1"/>
          <w:sz w:val="32"/>
          <w:szCs w:val="32"/>
        </w:rPr>
        <w:t xml:space="preserve"> по Республике Татарстан осуществлено исключение сведений о границах указанных участков из Единого государственного реестра недвижимости.</w:t>
      </w:r>
    </w:p>
    <w:p w:rsidR="009F10B0" w:rsidRPr="0003729B" w:rsidRDefault="009F10B0" w:rsidP="009F10B0">
      <w:pPr>
        <w:spacing w:after="0" w:line="240" w:lineRule="auto"/>
        <w:ind w:firstLine="709"/>
        <w:jc w:val="both"/>
        <w:rPr>
          <w:rFonts w:ascii="Century Schoolbook" w:eastAsia="Calibri" w:hAnsi="Century Schoolbook" w:cs="Times New Roman"/>
          <w:sz w:val="28"/>
          <w:szCs w:val="28"/>
        </w:rPr>
      </w:pPr>
    </w:p>
    <w:p w:rsidR="00E31BCC" w:rsidRPr="0003729B" w:rsidRDefault="00E31BCC" w:rsidP="00E31BCC">
      <w:pPr>
        <w:spacing w:after="0" w:line="240" w:lineRule="auto"/>
        <w:rPr>
          <w:rFonts w:ascii="Century Schoolbook" w:eastAsia="Calibri" w:hAnsi="Century Schoolbook" w:cs="David"/>
          <w:sz w:val="24"/>
          <w:szCs w:val="24"/>
        </w:rPr>
      </w:pPr>
      <w:r>
        <w:rPr>
          <w:rFonts w:ascii="Century Schoolbook" w:eastAsia="Calibri" w:hAnsi="Century Schoolbook" w:cs="David"/>
          <w:sz w:val="24"/>
          <w:szCs w:val="24"/>
        </w:rPr>
        <w:t xml:space="preserve">Казанская межрайонная природоохранная прокуратура </w:t>
      </w:r>
    </w:p>
    <w:p w:rsidR="009F10B0" w:rsidRPr="0003729B" w:rsidRDefault="009F10B0" w:rsidP="009F10B0">
      <w:pPr>
        <w:spacing w:after="0" w:line="240" w:lineRule="auto"/>
        <w:rPr>
          <w:rFonts w:ascii="Century Schoolbook" w:eastAsia="Calibri" w:hAnsi="Century Schoolbook" w:cs="David"/>
          <w:sz w:val="24"/>
          <w:szCs w:val="24"/>
        </w:rPr>
      </w:pPr>
    </w:p>
    <w:sectPr w:rsidR="009F10B0" w:rsidRPr="0003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0A"/>
    <w:rsid w:val="0003729B"/>
    <w:rsid w:val="00131697"/>
    <w:rsid w:val="0022706A"/>
    <w:rsid w:val="0040641A"/>
    <w:rsid w:val="009F10B0"/>
    <w:rsid w:val="00BA77E7"/>
    <w:rsid w:val="00E0210A"/>
    <w:rsid w:val="00E3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3114"/>
  <w15:chartTrackingRefBased/>
  <w15:docId w15:val="{C9BA5F06-76BF-4330-8E7E-D03FF040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2021-05-20T09:03:00Z</dcterms:created>
  <dcterms:modified xsi:type="dcterms:W3CDTF">2021-05-20T09:03:00Z</dcterms:modified>
</cp:coreProperties>
</file>