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E6465B" w:rsidRPr="00A95F12" w:rsidTr="0062760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A95F12">
              <w:rPr>
                <w:rFonts w:ascii="Times New Roman" w:hAnsi="Times New Roman" w:cs="Times New Roman"/>
              </w:rPr>
              <w:t>РЕСПУБЛИКА ТАТАРСТАН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F12">
              <w:rPr>
                <w:rFonts w:ascii="Times New Roman" w:hAnsi="Times New Roman" w:cs="Times New Roman"/>
              </w:rPr>
              <w:t>БУИНСКИЙ МУНИЦИПАЛЬНЫЙ РАЙОН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95F12">
              <w:rPr>
                <w:rFonts w:ascii="Times New Roman" w:hAnsi="Times New Roman" w:cs="Times New Roman"/>
              </w:rPr>
              <w:t xml:space="preserve">СОВЕТ </w:t>
            </w:r>
            <w:r w:rsidRPr="00A95F12">
              <w:rPr>
                <w:rFonts w:ascii="Times New Roman" w:hAnsi="Times New Roman" w:cs="Times New Roman"/>
                <w:lang w:val="tt-RU"/>
              </w:rPr>
              <w:t>КИЯТСКОГО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F12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F1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95350"/>
                  <wp:effectExtent l="19050" t="0" r="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F12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5F12">
              <w:rPr>
                <w:rFonts w:ascii="Times New Roman" w:hAnsi="Times New Roman" w:cs="Times New Roman"/>
              </w:rPr>
              <w:t xml:space="preserve">БУА МУНИЦИПАЛЬ РАЙОНЫ 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A95F12">
              <w:rPr>
                <w:rFonts w:ascii="Times New Roman" w:hAnsi="Times New Roman" w:cs="Times New Roman"/>
                <w:lang w:val="tt-RU"/>
              </w:rPr>
              <w:t xml:space="preserve">КЫЯТ </w:t>
            </w:r>
          </w:p>
          <w:p w:rsidR="00E6465B" w:rsidRPr="00A95F12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5F12">
              <w:rPr>
                <w:rFonts w:ascii="Times New Roman" w:hAnsi="Times New Roman" w:cs="Times New Roman"/>
              </w:rPr>
              <w:t xml:space="preserve">АВЫЛ </w:t>
            </w:r>
            <w:r w:rsidRPr="00A95F12">
              <w:rPr>
                <w:rFonts w:ascii="Times New Roman" w:hAnsi="Times New Roman" w:cs="Times New Roman"/>
                <w:lang w:val="tt-RU"/>
              </w:rPr>
              <w:t xml:space="preserve">ҖИРЛЕГЕ </w:t>
            </w:r>
            <w:r w:rsidRPr="00A95F12">
              <w:rPr>
                <w:rFonts w:ascii="Times New Roman" w:hAnsi="Times New Roman" w:cs="Times New Roman"/>
              </w:rPr>
              <w:t xml:space="preserve">СОВЕТЫ </w:t>
            </w:r>
            <w:r w:rsidRPr="00A95F12">
              <w:rPr>
                <w:rFonts w:ascii="Times New Roman" w:hAnsi="Times New Roman" w:cs="Times New Roman"/>
              </w:rPr>
              <w:br/>
            </w:r>
          </w:p>
        </w:tc>
      </w:tr>
    </w:tbl>
    <w:p w:rsidR="00E6465B" w:rsidRPr="00A95F12" w:rsidRDefault="00E6465B" w:rsidP="00E6465B">
      <w:pPr>
        <w:spacing w:after="0"/>
        <w:rPr>
          <w:rFonts w:ascii="Times New Roman" w:hAnsi="Times New Roman" w:cs="Times New Roman"/>
          <w:color w:val="000000"/>
        </w:rPr>
      </w:pPr>
    </w:p>
    <w:p w:rsidR="00E6465B" w:rsidRPr="00A95F12" w:rsidRDefault="00E6465B" w:rsidP="00E64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12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E6465B" w:rsidRPr="00A95F12" w:rsidRDefault="00E6465B" w:rsidP="00E646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F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26</w:t>
      </w:r>
      <w:r w:rsidRPr="00BD67BB">
        <w:rPr>
          <w:rFonts w:ascii="Times New Roman" w:hAnsi="Times New Roman" w:cs="Times New Roman"/>
          <w:sz w:val="24"/>
          <w:szCs w:val="24"/>
        </w:rPr>
        <w:t xml:space="preserve"> декабря  2014 года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№ 2-58</w:t>
      </w: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« О внесении изменений в  Решение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Совета от 18 декабря 2013 года № 1-44 «О бюджете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 на 2014 год и на плановый период 2015 и 2016 годов»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65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ab/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 Совет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BD67BB">
        <w:rPr>
          <w:rFonts w:ascii="Times New Roman" w:hAnsi="Times New Roman" w:cs="Times New Roman"/>
          <w:sz w:val="24"/>
          <w:szCs w:val="24"/>
        </w:rPr>
        <w:t>решил: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Статья 1.</w:t>
      </w:r>
    </w:p>
    <w:p w:rsidR="00E6465B" w:rsidRPr="00BD67BB" w:rsidRDefault="00E6465B" w:rsidP="00E6465B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Внести в Решение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Совета от 18 декабря 2013 года №  1-44  «О бюджете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 на  2014 год и на плановый период 2015 и 2016 годов» следующие изменения: </w:t>
      </w:r>
    </w:p>
    <w:p w:rsidR="00E6465B" w:rsidRPr="00BD67BB" w:rsidRDefault="00E6465B" w:rsidP="00E6465B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ab/>
      </w:r>
      <w:r w:rsidRPr="00BD67BB">
        <w:rPr>
          <w:rFonts w:ascii="Times New Roman" w:hAnsi="Times New Roman" w:cs="Times New Roman"/>
          <w:sz w:val="24"/>
          <w:szCs w:val="24"/>
        </w:rPr>
        <w:tab/>
        <w:t>1. В подпункте 1 пункта 1 статьи 1 цифры «1670,6» заменить цифрами</w:t>
      </w:r>
    </w:p>
    <w:p w:rsidR="00E6465B" w:rsidRPr="00BD67BB" w:rsidRDefault="00E6465B" w:rsidP="00E6465B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«2999,5», в подпункте 2 цифры «1670,6» заменить цифрами «3115,6»; в подпункте 3 цифры «0» заменить цифрами «116,1»;</w:t>
      </w:r>
    </w:p>
    <w:p w:rsidR="00E6465B" w:rsidRPr="00BD67BB" w:rsidRDefault="00E6465B" w:rsidP="00E646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2. Дополнить статьей 9.1 следующего содержания:</w:t>
      </w:r>
    </w:p>
    <w:p w:rsidR="00E6465B" w:rsidRPr="00BD67BB" w:rsidRDefault="00E6465B" w:rsidP="00E6465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«Статья 9.1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Учесть в бюджете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67BB">
        <w:rPr>
          <w:rFonts w:ascii="Times New Roman" w:hAnsi="Times New Roman" w:cs="Times New Roman"/>
          <w:sz w:val="24"/>
          <w:szCs w:val="24"/>
        </w:rPr>
        <w:t xml:space="preserve"> получаемые из бюджета Буинского муниципального района межбюджетные  трансферты, передаваемые бюджетам поселений для    компенсации дополнительных расходов, возникших в результате решений, принятых органами власти другого уровня, в сумме 586,7 тыс. рублей»;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3. В приложении 1 таблице 1 цифры «0» заменить цифрами «116,1»; цифры «-1670,6» заменить цифрами «-2999,5», цифры «1670,6» заменить цифрами «3115,6»;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ab/>
        <w:t>4. Приложение 2 таблицу 1  изложить в следующей редакции:</w:t>
      </w:r>
    </w:p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5B" w:rsidRPr="00BD67BB" w:rsidRDefault="00E6465B" w:rsidP="00E646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 Совета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от 18 декабря 2013 года № 1-44 «О бюджете                     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 сельс</w:t>
      </w:r>
      <w:r>
        <w:rPr>
          <w:rFonts w:ascii="Times New Roman" w:hAnsi="Times New Roman" w:cs="Times New Roman"/>
          <w:sz w:val="24"/>
          <w:szCs w:val="24"/>
        </w:rPr>
        <w:t xml:space="preserve">кого </w:t>
      </w:r>
      <w:r w:rsidRPr="00BD67BB">
        <w:rPr>
          <w:rFonts w:ascii="Times New Roman" w:hAnsi="Times New Roman" w:cs="Times New Roman"/>
          <w:sz w:val="24"/>
          <w:szCs w:val="24"/>
        </w:rPr>
        <w:t xml:space="preserve">поселения  на  2014 год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7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67BB">
        <w:rPr>
          <w:rFonts w:ascii="Times New Roman" w:hAnsi="Times New Roman" w:cs="Times New Roman"/>
          <w:sz w:val="24"/>
          <w:szCs w:val="24"/>
        </w:rPr>
        <w:t>плановый период 2015 и 2016 годов»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E6465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Таблица 1 </w:t>
      </w:r>
    </w:p>
    <w:p w:rsidR="00E6465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Объемы прогнозируемых доходов бюджета 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 на 2014 год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(тыс. рублей.)</w:t>
      </w:r>
    </w:p>
    <w:tbl>
      <w:tblPr>
        <w:tblW w:w="9556" w:type="dxa"/>
        <w:tblInd w:w="92" w:type="dxa"/>
        <w:tblLook w:val="0000" w:firstRow="0" w:lastRow="0" w:firstColumn="0" w:lastColumn="0" w:noHBand="0" w:noVBand="0"/>
      </w:tblPr>
      <w:tblGrid>
        <w:gridCol w:w="5652"/>
        <w:gridCol w:w="2245"/>
        <w:gridCol w:w="1659"/>
      </w:tblGrid>
      <w:tr w:rsidR="00E6465B" w:rsidRPr="00BD67BB" w:rsidTr="00627606">
        <w:trPr>
          <w:cantSplit/>
          <w:trHeight w:val="688"/>
          <w:tblHeader/>
        </w:trPr>
        <w:tc>
          <w:tcPr>
            <w:tcW w:w="5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6465B" w:rsidRPr="00BD67BB" w:rsidTr="00627606">
        <w:trPr>
          <w:cantSplit/>
          <w:trHeight w:val="509"/>
          <w:tblHeader/>
        </w:trPr>
        <w:tc>
          <w:tcPr>
            <w:tcW w:w="5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65B" w:rsidRPr="00BD67BB" w:rsidTr="00627606">
        <w:trPr>
          <w:trHeight w:val="42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1 00 00000 00 0000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Cs/>
                <w:sz w:val="24"/>
                <w:szCs w:val="24"/>
              </w:rPr>
              <w:t>2006,0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   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D67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1 01 02010 01 0000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E6465B" w:rsidRPr="00BD67BB" w:rsidTr="00627606">
        <w:trPr>
          <w:trHeight w:val="307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1 05 00000 00 0000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953,4</w:t>
            </w:r>
          </w:p>
        </w:tc>
      </w:tr>
      <w:tr w:rsidR="00E6465B" w:rsidRPr="00BD67BB" w:rsidTr="00627606">
        <w:trPr>
          <w:trHeight w:val="307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953,4</w:t>
            </w:r>
          </w:p>
        </w:tc>
      </w:tr>
      <w:tr w:rsidR="00E6465B" w:rsidRPr="00BD67BB" w:rsidTr="00627606">
        <w:trPr>
          <w:trHeight w:val="307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E6465B" w:rsidRPr="00BD67BB" w:rsidTr="00627606">
        <w:trPr>
          <w:trHeight w:val="36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1 06 01000 00 0000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1 06 01030 10 0000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E6465B" w:rsidRPr="00BD67BB" w:rsidTr="00627606">
        <w:trPr>
          <w:trHeight w:val="40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1 06 06000 00 0000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1 06 06010 00 0000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1 06 06013 10 0000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1 06 06020 00 0000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1 06 06023 10 0000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E6465B" w:rsidRPr="00BD67BB" w:rsidTr="00627606">
        <w:trPr>
          <w:trHeight w:val="17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1 08 00000 00 0000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6465B" w:rsidRPr="00BD67BB" w:rsidTr="00627606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</w:t>
            </w: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совершение нотариальных действий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1 08 04020 01 0000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6465B" w:rsidRPr="00BD67BB" w:rsidTr="00627606">
        <w:trPr>
          <w:trHeight w:val="959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</w:tr>
      <w:tr w:rsidR="00E6465B" w:rsidRPr="00BD67BB" w:rsidTr="00627606">
        <w:trPr>
          <w:trHeight w:val="1566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1 11 05013 10 0000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E6465B" w:rsidRPr="00BD67BB" w:rsidRDefault="00E6465B" w:rsidP="00627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1 17 00000 00 0000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1 17 14 030 10 0000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E6465B" w:rsidRPr="00BD67BB" w:rsidTr="00627606">
        <w:trPr>
          <w:trHeight w:val="292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993,5</w:t>
            </w:r>
          </w:p>
        </w:tc>
      </w:tr>
      <w:tr w:rsidR="00E6465B" w:rsidRPr="00BD67BB" w:rsidTr="00627606">
        <w:trPr>
          <w:trHeight w:val="584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993,5</w:t>
            </w:r>
          </w:p>
        </w:tc>
      </w:tr>
      <w:tr w:rsidR="00E6465B" w:rsidRPr="00BD67BB" w:rsidTr="00627606">
        <w:trPr>
          <w:trHeight w:val="5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поселений на выравнивание бюджетной обеспеченности </w:t>
            </w:r>
          </w:p>
          <w:p w:rsidR="00E6465B" w:rsidRPr="00BD67BB" w:rsidRDefault="00E6465B" w:rsidP="00627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2 02 01001 10 0000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324,3</w:t>
            </w:r>
          </w:p>
        </w:tc>
      </w:tr>
      <w:tr w:rsidR="00E6465B" w:rsidRPr="00BD67BB" w:rsidTr="00627606">
        <w:trPr>
          <w:trHeight w:val="64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поселений для осуществления полномочий по государственной регистрации актов гражданского состояния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2 02 03003 10 0000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6465B" w:rsidRPr="00BD67BB" w:rsidTr="00627606">
        <w:trPr>
          <w:trHeight w:val="370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2 02 03015 10 0000 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E6465B" w:rsidRPr="00BD67BB" w:rsidTr="00627606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2 02 04012 10 0000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586,7</w:t>
            </w:r>
          </w:p>
        </w:tc>
      </w:tr>
      <w:tr w:rsidR="00E6465B" w:rsidRPr="00BD67BB" w:rsidTr="00627606">
        <w:trPr>
          <w:trHeight w:val="413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465B" w:rsidRPr="00BD67BB" w:rsidRDefault="00E6465B" w:rsidP="0062760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2999,5</w:t>
            </w:r>
          </w:p>
        </w:tc>
      </w:tr>
    </w:tbl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5. Приложение 6 таблицу 1 изложить в следующей редакции: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Приложение 6</w:t>
      </w: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</w:t>
      </w:r>
      <w:r w:rsidRPr="00BD67BB">
        <w:rPr>
          <w:rFonts w:ascii="Times New Roman" w:hAnsi="Times New Roman" w:cs="Times New Roman"/>
          <w:sz w:val="24"/>
          <w:szCs w:val="24"/>
        </w:rPr>
        <w:t xml:space="preserve">Совета 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от 18 декабря 2013 года № 1-44  «О бюджете                      </w:t>
      </w: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 на </w:t>
      </w:r>
      <w:r w:rsidRPr="00BD67BB">
        <w:rPr>
          <w:rFonts w:ascii="Times New Roman" w:hAnsi="Times New Roman" w:cs="Times New Roman"/>
          <w:sz w:val="24"/>
          <w:szCs w:val="24"/>
        </w:rPr>
        <w:t xml:space="preserve">2014 год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67BB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67BB">
        <w:rPr>
          <w:rFonts w:ascii="Times New Roman" w:hAnsi="Times New Roman" w:cs="Times New Roman"/>
          <w:sz w:val="24"/>
          <w:szCs w:val="24"/>
        </w:rPr>
        <w:t>плановый период 2015 и 2016 годов»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Таблица 1 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7BB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 w:rsidRPr="00BD67BB">
        <w:rPr>
          <w:rFonts w:ascii="Times New Roman" w:hAnsi="Times New Roman" w:cs="Times New Roman"/>
          <w:bCs/>
          <w:sz w:val="24"/>
          <w:szCs w:val="24"/>
        </w:rPr>
        <w:t>видов расходов классификации расходов бюджета</w:t>
      </w:r>
      <w:proofErr w:type="gramEnd"/>
      <w:r w:rsidRPr="00BD67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67BB">
        <w:rPr>
          <w:rFonts w:ascii="Times New Roman" w:hAnsi="Times New Roman" w:cs="Times New Roman"/>
          <w:sz w:val="24"/>
          <w:szCs w:val="24"/>
        </w:rPr>
        <w:lastRenderedPageBreak/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  <w:r w:rsidRPr="00BD67BB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7BB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2014 год</w:t>
      </w:r>
    </w:p>
    <w:tbl>
      <w:tblPr>
        <w:tblW w:w="1075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936"/>
        <w:gridCol w:w="936"/>
        <w:gridCol w:w="1941"/>
        <w:gridCol w:w="1296"/>
        <w:gridCol w:w="1654"/>
      </w:tblGrid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1204,1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529,8</w:t>
            </w:r>
          </w:p>
        </w:tc>
      </w:tr>
      <w:tr w:rsidR="00E6465B" w:rsidRPr="00BD67BB" w:rsidTr="00627606">
        <w:trPr>
          <w:trHeight w:val="327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529,8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529,8</w:t>
            </w:r>
          </w:p>
        </w:tc>
      </w:tr>
      <w:tr w:rsidR="00E6465B" w:rsidRPr="00BD67BB" w:rsidTr="00627606">
        <w:trPr>
          <w:trHeight w:val="867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501,2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501,2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0015930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0015930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127,8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0029500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0920300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71,5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0015118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2190100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3400300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37,2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1226,3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коммунальному хозяйству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3510500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600 00 00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1208,3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600 01 00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389,6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335,7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600 05 00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335,7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568,5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568,5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462,9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6465B" w:rsidRPr="00BD67BB" w:rsidTr="00627606"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BB">
              <w:rPr>
                <w:rFonts w:ascii="Times New Roman" w:hAnsi="Times New Roman" w:cs="Times New Roman"/>
                <w:b/>
                <w:sz w:val="24"/>
                <w:szCs w:val="24"/>
              </w:rPr>
              <w:t>3115,6</w:t>
            </w:r>
          </w:p>
        </w:tc>
      </w:tr>
    </w:tbl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6. Приложение 7 таблицу 1 изложить в следующей редакции: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 Приложение 7</w:t>
      </w:r>
    </w:p>
    <w:p w:rsidR="00E6465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>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 Совета 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от 19 декабря 2013 года №1-40  «О бюджете                     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  на  2014 год и </w:t>
      </w:r>
      <w:proofErr w:type="gramStart"/>
      <w:r w:rsidRPr="00BD67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D6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D67BB">
        <w:rPr>
          <w:rFonts w:ascii="Times New Roman" w:hAnsi="Times New Roman" w:cs="Times New Roman"/>
          <w:sz w:val="24"/>
          <w:szCs w:val="24"/>
        </w:rPr>
        <w:t>плановый период 2015 и 2016 годов»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7BB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67BB">
        <w:rPr>
          <w:rFonts w:ascii="Times New Roman" w:hAnsi="Times New Roman" w:cs="Times New Roman"/>
          <w:bCs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67BB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Республики Татарстан на 2014 год</w:t>
      </w:r>
    </w:p>
    <w:p w:rsidR="00E6465B" w:rsidRPr="00BD67BB" w:rsidRDefault="00E6465B" w:rsidP="00E6465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10008" w:type="dxa"/>
        <w:tblLayout w:type="fixed"/>
        <w:tblLook w:val="01E0" w:firstRow="1" w:lastRow="1" w:firstColumn="1" w:lastColumn="1" w:noHBand="0" w:noVBand="0"/>
      </w:tblPr>
      <w:tblGrid>
        <w:gridCol w:w="2534"/>
        <w:gridCol w:w="950"/>
        <w:gridCol w:w="930"/>
        <w:gridCol w:w="930"/>
        <w:gridCol w:w="1964"/>
        <w:gridCol w:w="1440"/>
        <w:gridCol w:w="1260"/>
      </w:tblGrid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КВСР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РЗ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proofErr w:type="gramStart"/>
            <w:r w:rsidRPr="00BD67BB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ЦСР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Сумма (тыс</w:t>
            </w:r>
            <w:proofErr w:type="gramStart"/>
            <w:r w:rsidRPr="00BD67BB">
              <w:rPr>
                <w:sz w:val="24"/>
                <w:szCs w:val="24"/>
              </w:rPr>
              <w:t>.р</w:t>
            </w:r>
            <w:proofErr w:type="gramEnd"/>
            <w:r w:rsidRPr="00BD67BB">
              <w:rPr>
                <w:sz w:val="24"/>
                <w:szCs w:val="24"/>
              </w:rPr>
              <w:t>уб.)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D67BB">
              <w:rPr>
                <w:sz w:val="24"/>
                <w:szCs w:val="24"/>
              </w:rPr>
              <w:t>Киятского</w:t>
            </w:r>
            <w:proofErr w:type="spellEnd"/>
            <w:r w:rsidRPr="00BD67BB">
              <w:rPr>
                <w:sz w:val="24"/>
                <w:szCs w:val="24"/>
              </w:rPr>
              <w:t xml:space="preserve"> СП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3115,6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b/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 xml:space="preserve">      </w:t>
            </w:r>
            <w:r w:rsidRPr="00BD67BB">
              <w:rPr>
                <w:b/>
                <w:sz w:val="24"/>
                <w:szCs w:val="24"/>
              </w:rPr>
              <w:t>1204,1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529,8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529,8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D67BB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lastRenderedPageBreak/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529,8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lastRenderedPageBreak/>
              <w:t>Функционирование высших органов исполнительной власти субъектов РФ и муниципальных образований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501,2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501,2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227,7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271,0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173,1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0015930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11,0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0015930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11,0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highlight w:val="yellow"/>
              </w:rPr>
            </w:pPr>
            <w:r w:rsidRPr="00BD67BB">
              <w:rPr>
                <w:sz w:val="24"/>
                <w:szCs w:val="24"/>
              </w:rPr>
              <w:t>162,1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67BB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lastRenderedPageBreak/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127,8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13,8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0029500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0029500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0920300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12,4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71,5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proofErr w:type="spellStart"/>
            <w:r w:rsidRPr="00BD67BB">
              <w:rPr>
                <w:sz w:val="24"/>
                <w:szCs w:val="24"/>
                <w:lang w:val="en-US"/>
              </w:rPr>
              <w:t>Мобилизационная</w:t>
            </w:r>
            <w:proofErr w:type="spellEnd"/>
            <w:r w:rsidRPr="00BD67BB">
              <w:rPr>
                <w:sz w:val="24"/>
                <w:szCs w:val="24"/>
                <w:lang w:val="en-US"/>
              </w:rPr>
              <w:t xml:space="preserve">  и </w:t>
            </w:r>
            <w:proofErr w:type="spellStart"/>
            <w:r w:rsidRPr="00BD67BB">
              <w:rPr>
                <w:sz w:val="24"/>
                <w:szCs w:val="24"/>
                <w:lang w:val="en-US"/>
              </w:rPr>
              <w:t>вневойсковая</w:t>
            </w:r>
            <w:proofErr w:type="spellEnd"/>
            <w:r w:rsidRPr="00BD67B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67BB">
              <w:rPr>
                <w:sz w:val="24"/>
                <w:szCs w:val="24"/>
                <w:lang w:val="en-US"/>
              </w:rPr>
              <w:t>подготовка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  <w:r w:rsidRPr="00BD67BB">
              <w:rPr>
                <w:sz w:val="24"/>
                <w:szCs w:val="24"/>
              </w:rPr>
              <w:t xml:space="preserve">0 </w:t>
            </w:r>
            <w:r w:rsidRPr="00BD67BB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71,5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  <w:r w:rsidRPr="00BD67BB">
              <w:rPr>
                <w:sz w:val="24"/>
                <w:szCs w:val="24"/>
              </w:rPr>
              <w:t xml:space="preserve">0 </w:t>
            </w:r>
            <w:r w:rsidRPr="00BD67B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  <w:r w:rsidRPr="00BD67BB">
              <w:rPr>
                <w:sz w:val="24"/>
                <w:szCs w:val="24"/>
                <w:lang w:val="en-US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0015118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65,2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  <w:r w:rsidRPr="00BD67BB">
              <w:rPr>
                <w:sz w:val="24"/>
                <w:szCs w:val="24"/>
              </w:rPr>
              <w:t xml:space="preserve">0 </w:t>
            </w:r>
            <w:r w:rsidRPr="00BD67B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  <w:lang w:val="en-US"/>
              </w:rPr>
            </w:pPr>
            <w:r w:rsidRPr="00BD67BB">
              <w:rPr>
                <w:sz w:val="24"/>
                <w:szCs w:val="24"/>
                <w:lang w:val="en-US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0015118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6,3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E6465B" w:rsidRPr="00BD67BB" w:rsidRDefault="00E6465B" w:rsidP="00627606">
            <w:pPr>
              <w:rPr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2190100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8,0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3400300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37,2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1226,3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3510500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18,0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600 00 00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1208,3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600 01 00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289,6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389,6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483,0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6000500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335,7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600 05 00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335,7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Культура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568,5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Дворцы и дома культуры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568,5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100</w:t>
            </w: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85,1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462,9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b/>
                <w:bCs/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0 1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4409900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  <w:r w:rsidRPr="00BD67BB">
              <w:rPr>
                <w:sz w:val="24"/>
                <w:szCs w:val="24"/>
              </w:rPr>
              <w:t>20,5</w:t>
            </w:r>
          </w:p>
        </w:tc>
      </w:tr>
      <w:tr w:rsidR="00E6465B" w:rsidRPr="00BD67BB" w:rsidTr="00627606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rPr>
                <w:b/>
                <w:bCs/>
                <w:sz w:val="24"/>
                <w:szCs w:val="24"/>
              </w:rPr>
            </w:pPr>
            <w:r w:rsidRPr="00BD67BB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B" w:rsidRPr="00BD67BB" w:rsidRDefault="00E6465B" w:rsidP="006276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65B" w:rsidRPr="00BD67BB" w:rsidRDefault="00E6465B" w:rsidP="00627606">
            <w:pPr>
              <w:jc w:val="center"/>
              <w:rPr>
                <w:b/>
                <w:sz w:val="24"/>
                <w:szCs w:val="24"/>
              </w:rPr>
            </w:pPr>
            <w:r w:rsidRPr="00BD67BB">
              <w:rPr>
                <w:b/>
                <w:sz w:val="24"/>
                <w:szCs w:val="24"/>
              </w:rPr>
              <w:t>3115,6</w:t>
            </w:r>
          </w:p>
        </w:tc>
      </w:tr>
    </w:tbl>
    <w:p w:rsidR="00E6465B" w:rsidRPr="00BD67BB" w:rsidRDefault="00E6465B" w:rsidP="00E646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>Статья 2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 момента подписания и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распространяется на правоотношения, возникшие с  1 января 2014 года. </w:t>
      </w: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5B" w:rsidRPr="00BD67BB" w:rsidRDefault="00E6465B" w:rsidP="00E6465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BD67B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E6465B" w:rsidRPr="00BD67BB" w:rsidRDefault="00E6465B" w:rsidP="00E6465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Киятского</w:t>
      </w:r>
      <w:proofErr w:type="spellEnd"/>
      <w:r w:rsidRPr="00BD67BB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</w:t>
      </w:r>
      <w:r w:rsidRPr="00BD67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BD67BB">
        <w:rPr>
          <w:rFonts w:ascii="Times New Roman" w:hAnsi="Times New Roman" w:cs="Times New Roman"/>
          <w:sz w:val="24"/>
          <w:szCs w:val="24"/>
        </w:rPr>
        <w:t>М.М.Храмова</w:t>
      </w:r>
      <w:proofErr w:type="spellEnd"/>
    </w:p>
    <w:p w:rsidR="00E6465B" w:rsidRPr="00BD67BB" w:rsidRDefault="00E6465B" w:rsidP="00E6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2BE" w:rsidRDefault="004432BE"/>
    <w:sectPr w:rsidR="004432BE" w:rsidSect="00745FDF">
      <w:pgSz w:w="11906" w:h="16838"/>
      <w:pgMar w:top="142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B8"/>
    <w:multiLevelType w:val="hybridMultilevel"/>
    <w:tmpl w:val="0C36D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C6D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A502A"/>
    <w:multiLevelType w:val="hybridMultilevel"/>
    <w:tmpl w:val="1E7CC84C"/>
    <w:lvl w:ilvl="0" w:tplc="F09E62B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1B1A7C51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C7C9A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10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2" w:hanging="10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29916705"/>
    <w:multiLevelType w:val="hybridMultilevel"/>
    <w:tmpl w:val="D640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63F24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A4E4A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F6B18"/>
    <w:multiLevelType w:val="hybridMultilevel"/>
    <w:tmpl w:val="3D50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36F6B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A2CD3"/>
    <w:multiLevelType w:val="hybridMultilevel"/>
    <w:tmpl w:val="AB2A1ABE"/>
    <w:lvl w:ilvl="0" w:tplc="4DB0A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123357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26D80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E775F"/>
    <w:multiLevelType w:val="hybridMultilevel"/>
    <w:tmpl w:val="C0E8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D1CEC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31266"/>
    <w:multiLevelType w:val="hybridMultilevel"/>
    <w:tmpl w:val="5B24D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7641C5"/>
    <w:multiLevelType w:val="hybridMultilevel"/>
    <w:tmpl w:val="22EE5D4C"/>
    <w:lvl w:ilvl="0" w:tplc="E48C85F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2F718D0"/>
    <w:multiLevelType w:val="hybridMultilevel"/>
    <w:tmpl w:val="7098E890"/>
    <w:lvl w:ilvl="0" w:tplc="5DEC93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76F2E"/>
    <w:multiLevelType w:val="hybridMultilevel"/>
    <w:tmpl w:val="C32E601C"/>
    <w:lvl w:ilvl="0" w:tplc="B036A5C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5C7CEA"/>
    <w:multiLevelType w:val="hybridMultilevel"/>
    <w:tmpl w:val="64D84916"/>
    <w:lvl w:ilvl="0" w:tplc="31E6B6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C6799E"/>
    <w:multiLevelType w:val="hybridMultilevel"/>
    <w:tmpl w:val="3D50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F3A01"/>
    <w:multiLevelType w:val="hybridMultilevel"/>
    <w:tmpl w:val="322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26"/>
  </w:num>
  <w:num w:numId="4">
    <w:abstractNumId w:val="0"/>
  </w:num>
  <w:num w:numId="5">
    <w:abstractNumId w:val="20"/>
  </w:num>
  <w:num w:numId="6">
    <w:abstractNumId w:val="23"/>
  </w:num>
  <w:num w:numId="7">
    <w:abstractNumId w:val="28"/>
  </w:num>
  <w:num w:numId="8">
    <w:abstractNumId w:val="12"/>
  </w:num>
  <w:num w:numId="9">
    <w:abstractNumId w:val="10"/>
  </w:num>
  <w:num w:numId="10">
    <w:abstractNumId w:val="6"/>
  </w:num>
  <w:num w:numId="11">
    <w:abstractNumId w:val="27"/>
  </w:num>
  <w:num w:numId="12">
    <w:abstractNumId w:val="4"/>
  </w:num>
  <w:num w:numId="13">
    <w:abstractNumId w:val="1"/>
  </w:num>
  <w:num w:numId="14">
    <w:abstractNumId w:val="11"/>
  </w:num>
  <w:num w:numId="15">
    <w:abstractNumId w:val="15"/>
  </w:num>
  <w:num w:numId="16">
    <w:abstractNumId w:val="24"/>
  </w:num>
  <w:num w:numId="17">
    <w:abstractNumId w:val="13"/>
  </w:num>
  <w:num w:numId="18">
    <w:abstractNumId w:val="19"/>
  </w:num>
  <w:num w:numId="19">
    <w:abstractNumId w:val="8"/>
  </w:num>
  <w:num w:numId="20">
    <w:abstractNumId w:val="5"/>
  </w:num>
  <w:num w:numId="21">
    <w:abstractNumId w:val="9"/>
  </w:num>
  <w:num w:numId="22">
    <w:abstractNumId w:val="14"/>
  </w:num>
  <w:num w:numId="23">
    <w:abstractNumId w:val="16"/>
  </w:num>
  <w:num w:numId="24">
    <w:abstractNumId w:val="17"/>
  </w:num>
  <w:num w:numId="25">
    <w:abstractNumId w:val="21"/>
  </w:num>
  <w:num w:numId="26">
    <w:abstractNumId w:val="22"/>
  </w:num>
  <w:num w:numId="27">
    <w:abstractNumId w:val="18"/>
  </w:num>
  <w:num w:numId="28">
    <w:abstractNumId w:val="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5B"/>
    <w:rsid w:val="004432BE"/>
    <w:rsid w:val="006E1721"/>
    <w:rsid w:val="00E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46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64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465B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6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65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6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46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6465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E6465B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6465B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E6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646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E6465B"/>
    <w:pPr>
      <w:ind w:left="720"/>
      <w:contextualSpacing/>
    </w:pPr>
  </w:style>
  <w:style w:type="paragraph" w:customStyle="1" w:styleId="ConsPlusNonformat">
    <w:name w:val="ConsPlusNonformat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E6465B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E6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E6465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E6465B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6465B"/>
  </w:style>
  <w:style w:type="character" w:styleId="ab">
    <w:name w:val="Hyperlink"/>
    <w:rsid w:val="00E6465B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646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E6465B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E646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E6465B"/>
    <w:rPr>
      <w:rFonts w:ascii="Arial" w:eastAsia="Times New Roman" w:hAnsi="Arial" w:cs="Arial"/>
    </w:rPr>
  </w:style>
  <w:style w:type="character" w:styleId="af2">
    <w:name w:val="page number"/>
    <w:basedOn w:val="a0"/>
    <w:rsid w:val="00E6465B"/>
  </w:style>
  <w:style w:type="paragraph" w:styleId="af3">
    <w:name w:val="footer"/>
    <w:basedOn w:val="a"/>
    <w:link w:val="af4"/>
    <w:rsid w:val="00E646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E6465B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E6465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E6465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E6465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7">
    <w:name w:val="Table Grid"/>
    <w:basedOn w:val="a1"/>
    <w:rsid w:val="00E64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46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646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6465B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6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65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E64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646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6465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link w:val="a4"/>
    <w:qFormat/>
    <w:rsid w:val="00E6465B"/>
    <w:pPr>
      <w:spacing w:before="60" w:after="0" w:line="240" w:lineRule="exact"/>
      <w:ind w:left="284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6465B"/>
    <w:rPr>
      <w:rFonts w:ascii="Arial" w:eastAsia="Times New Roman" w:hAnsi="Arial" w:cs="Times New Roman"/>
      <w:b/>
      <w:sz w:val="32"/>
      <w:szCs w:val="20"/>
    </w:rPr>
  </w:style>
  <w:style w:type="paragraph" w:customStyle="1" w:styleId="ConsPlusTitle">
    <w:name w:val="ConsPlusTitle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semiHidden/>
    <w:unhideWhenUsed/>
    <w:rsid w:val="00E6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E646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E6465B"/>
    <w:pPr>
      <w:ind w:left="720"/>
      <w:contextualSpacing/>
    </w:pPr>
  </w:style>
  <w:style w:type="paragraph" w:customStyle="1" w:styleId="ConsPlusNonformat">
    <w:name w:val="ConsPlusNonformat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Цветовое выделение"/>
    <w:rsid w:val="00E6465B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E6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E6465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a">
    <w:name w:val="Основной текст Знак"/>
    <w:basedOn w:val="a0"/>
    <w:link w:val="a9"/>
    <w:rsid w:val="00E6465B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6465B"/>
  </w:style>
  <w:style w:type="character" w:styleId="ab">
    <w:name w:val="Hyperlink"/>
    <w:rsid w:val="00E6465B"/>
    <w:rPr>
      <w:color w:val="0000FF"/>
      <w:u w:val="single"/>
    </w:rPr>
  </w:style>
  <w:style w:type="paragraph" w:customStyle="1" w:styleId="ac">
    <w:name w:val="Таблицы (моноширинный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646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d">
    <w:name w:val="Гипертекстовая ссылка"/>
    <w:rsid w:val="00E6465B"/>
    <w:rPr>
      <w:b/>
      <w:bCs/>
      <w:color w:val="008000"/>
      <w:sz w:val="22"/>
      <w:szCs w:val="22"/>
      <w:u w:val="single"/>
    </w:rPr>
  </w:style>
  <w:style w:type="paragraph" w:customStyle="1" w:styleId="ae">
    <w:name w:val="Текст (лев. подпись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f">
    <w:name w:val="Текст (прав. подпись)"/>
    <w:basedOn w:val="a"/>
    <w:next w:val="a"/>
    <w:rsid w:val="00E6465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rsid w:val="00E646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1">
    <w:name w:val="Верхний колонтитул Знак"/>
    <w:basedOn w:val="a0"/>
    <w:link w:val="af0"/>
    <w:rsid w:val="00E6465B"/>
    <w:rPr>
      <w:rFonts w:ascii="Arial" w:eastAsia="Times New Roman" w:hAnsi="Arial" w:cs="Arial"/>
    </w:rPr>
  </w:style>
  <w:style w:type="character" w:styleId="af2">
    <w:name w:val="page number"/>
    <w:basedOn w:val="a0"/>
    <w:rsid w:val="00E6465B"/>
  </w:style>
  <w:style w:type="paragraph" w:styleId="af3">
    <w:name w:val="footer"/>
    <w:basedOn w:val="a"/>
    <w:link w:val="af4"/>
    <w:rsid w:val="00E646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rsid w:val="00E6465B"/>
    <w:rPr>
      <w:rFonts w:ascii="Arial" w:eastAsia="Times New Roman" w:hAnsi="Arial" w:cs="Arial"/>
    </w:rPr>
  </w:style>
  <w:style w:type="character" w:customStyle="1" w:styleId="af5">
    <w:name w:val="Схема документа Знак"/>
    <w:basedOn w:val="a0"/>
    <w:link w:val="af6"/>
    <w:semiHidden/>
    <w:rsid w:val="00E6465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6">
    <w:name w:val="Document Map"/>
    <w:basedOn w:val="a"/>
    <w:link w:val="af5"/>
    <w:semiHidden/>
    <w:rsid w:val="00E6465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E6465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4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7">
    <w:name w:val="Table Grid"/>
    <w:basedOn w:val="a1"/>
    <w:rsid w:val="00E64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2015-01-23T06:51:00Z</dcterms:created>
  <dcterms:modified xsi:type="dcterms:W3CDTF">2015-01-23T06:51:00Z</dcterms:modified>
</cp:coreProperties>
</file>