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C57EC3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Малобуинковского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F36A6D">
            <w:rPr>
              <w:rFonts w:ascii="Times New Roman" w:hAnsi="Times New Roman" w:cs="Times New Roman"/>
              <w:sz w:val="24"/>
              <w:szCs w:val="24"/>
            </w:rPr>
            <w:t>_</w:t>
          </w:r>
          <w:r w:rsidR="00F36A6D">
            <w:rPr>
              <w:rFonts w:ascii="Times New Roman" w:hAnsi="Times New Roman" w:cs="Times New Roman"/>
              <w:sz w:val="24"/>
              <w:szCs w:val="24"/>
              <w:u w:val="single"/>
            </w:rPr>
            <w:t>14  ноября  2017</w:t>
          </w:r>
          <w:r w:rsidR="00F36A6D">
            <w:rPr>
              <w:rFonts w:ascii="Times New Roman" w:hAnsi="Times New Roman" w:cs="Times New Roman"/>
              <w:sz w:val="24"/>
              <w:szCs w:val="24"/>
            </w:rPr>
            <w:t xml:space="preserve"> № </w:t>
          </w:r>
          <w:r w:rsidR="00F36A6D">
            <w:rPr>
              <w:rFonts w:ascii="Times New Roman" w:hAnsi="Times New Roman" w:cs="Times New Roman"/>
              <w:sz w:val="24"/>
              <w:szCs w:val="24"/>
              <w:u w:val="single"/>
            </w:rPr>
            <w:t xml:space="preserve"> 40-3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C57EC3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МАЛОБУИНКОВСКОГО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1" w:name="_Toc387837628" w:displacedByCustomXml="next"/>
    <w:bookmarkEnd w:id="1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EndPr/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6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C57EC3">
              <w:rPr>
                <w:rStyle w:val="ad"/>
                <w:noProof/>
                <w:sz w:val="24"/>
                <w:szCs w:val="24"/>
                <w:lang w:eastAsia="zh-CN" w:bidi="hi-IN"/>
              </w:rPr>
              <w:t>МАЛОБУИНКОВСКОГО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9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9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11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11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12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8B3295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13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13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14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14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15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15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16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16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19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20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21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21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22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23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24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B329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="00865F2E" w:rsidRPr="00174922">
              <w:rPr>
                <w:noProof/>
                <w:webHidden/>
                <w:sz w:val="24"/>
                <w:szCs w:val="24"/>
              </w:rPr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1EA9">
              <w:rPr>
                <w:noProof/>
                <w:webHidden/>
                <w:sz w:val="24"/>
                <w:szCs w:val="24"/>
              </w:rPr>
              <w:t>25</w:t>
            </w:r>
            <w:r w:rsidR="00865F2E"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865F2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2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2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C57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Малобуинковского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C57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Малобуинковского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C57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Малобуинковского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электро-, тепл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газо-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основную часть (расчетные показатели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C57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Малобуинковского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C57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Малобуинковского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C57EC3">
        <w:rPr>
          <w:sz w:val="28"/>
          <w:szCs w:val="28"/>
          <w:lang w:eastAsia="zh-CN" w:bidi="hi-IN"/>
        </w:rPr>
        <w:t>МАЛОБУИНКОВСКОГО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C57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Малобуинковского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F547A9">
        <w:trPr>
          <w:trHeight w:val="1547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C57EC3" w:rsidP="00C57EC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Малобуинковское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центральной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969" w:type="dxa"/>
            <w:vAlign w:val="center"/>
          </w:tcPr>
          <w:p w:rsidR="00A82A36" w:rsidRDefault="00C57EC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</w:tr>
      <w:tr w:rsidR="00A82A36" w:rsidTr="00F547A9">
        <w:trPr>
          <w:trHeight w:val="983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1343B9" w:rsidRDefault="00C57EC3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Малая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Буинка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C57EC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A82A36" w:rsidRDefault="00C57EC3" w:rsidP="00F547A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Малая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Буинка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81D" w:rsidRDefault="00C57EC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C57EC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82,02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C57EC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C57EC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6A7595" w:rsidP="00C57EC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57E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C57EC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16,61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A82A36" w:rsidRDefault="006A7595" w:rsidP="00C57EC3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C57EC3">
              <w:rPr>
                <w:rFonts w:ascii="Times New Roman" w:hAnsi="Times New Roman"/>
                <w:sz w:val="24"/>
                <w:szCs w:val="24"/>
              </w:rPr>
              <w:t xml:space="preserve">Малая </w:t>
            </w:r>
            <w:proofErr w:type="spellStart"/>
            <w:r w:rsidR="00C57EC3">
              <w:rPr>
                <w:rFonts w:ascii="Times New Roman" w:hAnsi="Times New Roman"/>
                <w:sz w:val="24"/>
                <w:szCs w:val="24"/>
              </w:rPr>
              <w:t>Буинка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7EC" w:rsidRDefault="00C57EC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16,61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441B8B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>минимально допустимого уровня обеспеченности объектами электро-, тепл</w:t>
      </w:r>
      <w:proofErr w:type="gramStart"/>
      <w:r w:rsidR="001F2CF0" w:rsidRPr="005F5B8A">
        <w:rPr>
          <w:sz w:val="24"/>
          <w:szCs w:val="24"/>
          <w:shd w:val="clear" w:color="auto" w:fill="FFFFFF"/>
        </w:rPr>
        <w:t>о-</w:t>
      </w:r>
      <w:proofErr w:type="gramEnd"/>
      <w:r w:rsidR="001F2CF0" w:rsidRPr="005F5B8A">
        <w:rPr>
          <w:sz w:val="24"/>
          <w:szCs w:val="24"/>
          <w:shd w:val="clear" w:color="auto" w:fill="FFFFFF"/>
        </w:rPr>
        <w:t xml:space="preserve">, газо-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электро-,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C57EC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Малобуинковского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proofErr w:type="gramStart"/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</w:t>
            </w:r>
            <w:proofErr w:type="gramEnd"/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</w:t>
      </w:r>
      <w:proofErr w:type="gramStart"/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равным</w:t>
      </w:r>
      <w:proofErr w:type="gramEnd"/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равным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электро-</w:t>
      </w:r>
      <w:r w:rsidR="00A35EA8" w:rsidRPr="00C77FC6">
        <w:rPr>
          <w:sz w:val="24"/>
          <w:szCs w:val="24"/>
          <w:shd w:val="clear" w:color="auto" w:fill="FFFFFF"/>
        </w:rPr>
        <w:t>, тепл</w:t>
      </w:r>
      <w:proofErr w:type="gramStart"/>
      <w:r w:rsidR="00A35EA8" w:rsidRPr="00C77FC6">
        <w:rPr>
          <w:sz w:val="24"/>
          <w:szCs w:val="24"/>
          <w:shd w:val="clear" w:color="auto" w:fill="FFFFFF"/>
        </w:rPr>
        <w:t>о-</w:t>
      </w:r>
      <w:proofErr w:type="gramEnd"/>
      <w:r w:rsidR="00A35EA8" w:rsidRPr="00C77FC6">
        <w:rPr>
          <w:sz w:val="24"/>
          <w:szCs w:val="24"/>
          <w:shd w:val="clear" w:color="auto" w:fill="FFFFFF"/>
        </w:rPr>
        <w:t xml:space="preserve">, газо-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</w:t>
      </w:r>
      <w:proofErr w:type="spellStart"/>
      <w:r w:rsidRPr="00C77FC6">
        <w:rPr>
          <w:color w:val="auto"/>
        </w:rPr>
        <w:t>кВ</w:t>
      </w:r>
      <w:proofErr w:type="spellEnd"/>
      <w:r w:rsidRPr="00C77FC6">
        <w:rPr>
          <w:color w:val="auto"/>
        </w:rPr>
        <w:t xml:space="preserve"> или 35 – 110 – 330 – 750 </w:t>
      </w:r>
      <w:proofErr w:type="spellStart"/>
      <w:r w:rsidRPr="00C77FC6">
        <w:rPr>
          <w:color w:val="auto"/>
        </w:rPr>
        <w:t>кВ.</w:t>
      </w:r>
      <w:proofErr w:type="spellEnd"/>
      <w:r w:rsidRPr="00C77FC6">
        <w:rPr>
          <w:color w:val="auto"/>
        </w:rPr>
        <w:t xml:space="preserve">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 xml:space="preserve"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</w:t>
      </w:r>
      <w:proofErr w:type="spellStart"/>
      <w:r w:rsidRPr="00C77FC6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r w:rsidRPr="00C77FC6">
        <w:rPr>
          <w:bCs/>
          <w:color w:val="auto"/>
          <w:shd w:val="clear" w:color="auto" w:fill="FFFFFF"/>
        </w:rPr>
        <w:t>СНиП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 xml:space="preserve">, ГОСТ </w:t>
      </w:r>
      <w:proofErr w:type="gramStart"/>
      <w:r w:rsidR="00CA7A3B" w:rsidRPr="00C77FC6">
        <w:rPr>
          <w:bCs/>
          <w:color w:val="auto"/>
          <w:shd w:val="clear" w:color="auto" w:fill="FFFFFF"/>
        </w:rPr>
        <w:t>Р</w:t>
      </w:r>
      <w:proofErr w:type="gramEnd"/>
      <w:r w:rsidR="00CA7A3B" w:rsidRPr="00C77FC6">
        <w:rPr>
          <w:bCs/>
          <w:color w:val="auto"/>
          <w:shd w:val="clear" w:color="auto" w:fill="FFFFFF"/>
        </w:rPr>
        <w:t xml:space="preserve">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r w:rsidR="00CA7A3B" w:rsidRPr="00C77FC6">
        <w:rPr>
          <w:bCs/>
          <w:color w:val="auto"/>
          <w:shd w:val="clear" w:color="auto" w:fill="FFFFFF"/>
        </w:rPr>
        <w:t>СНиП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>СП 42.13330.2011 Актуализированная редакция СНиП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>Проектирование и строительство новых, реконструкцию и развитие действующих систем газоснабжения следует осуществлять согласно требованиям СНиП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>СП 30.13330.2012 Актуализированная редакция СНиП 2.04.01-85* «Внутренний водопровод и канализация зданий», СП 31.13330.2012 Актуализированная редакция СНиП 2.04.02-84* «Водоснабжение. Наружные сети и сооружения», СП 42.13330.2011 Актуализированная редакция СНиП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>,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СанПиН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СанПиН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</w:t>
      </w:r>
      <w:proofErr w:type="gramStart"/>
      <w:r w:rsidRPr="00C77FC6">
        <w:rPr>
          <w:color w:val="auto"/>
        </w:rPr>
        <w:t>кольцевыми</w:t>
      </w:r>
      <w:proofErr w:type="gramEnd"/>
      <w:r w:rsidRPr="00C77FC6">
        <w:rPr>
          <w:color w:val="auto"/>
        </w:rPr>
        <w:t xml:space="preserve">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proofErr w:type="gramStart"/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</w:t>
      </w:r>
      <w:proofErr w:type="gramEnd"/>
      <w:r w:rsidRPr="00C77FC6">
        <w:rPr>
          <w:color w:val="auto"/>
        </w:rPr>
        <w:t xml:space="preserve">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>СП 30.13330.2012 Актуализированная редакция СНиП 2.04.01-85* «Внутренний водопровод и канализация зданий», СП 32.13330.2012 Актуализированная редакция СНиП 2.04.03-85* «Канализация. Наружные сети и сооружения», СП 42.13330.2011 Актуализированная редакция СНиП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</w:t>
      </w:r>
      <w:proofErr w:type="gramStart"/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равным</w:t>
      </w:r>
      <w:proofErr w:type="gramEnd"/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</w:t>
      </w:r>
      <w:proofErr w:type="gramStart"/>
      <w:r w:rsidRPr="00C77FC6">
        <w:rPr>
          <w:color w:val="auto"/>
        </w:rPr>
        <w:t>с подветренной стороны для ветров преобладающего в теплый период года направления по отношению к жилой</w:t>
      </w:r>
      <w:proofErr w:type="gramEnd"/>
      <w:r w:rsidRPr="00C77FC6">
        <w:rPr>
          <w:color w:val="auto"/>
        </w:rPr>
        <w:t xml:space="preserve">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</w:t>
      </w:r>
      <w:proofErr w:type="gramStart"/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равным</w:t>
      </w:r>
      <w:proofErr w:type="gramEnd"/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>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gram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СНиП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 xml:space="preserve">ельских поселений», </w:t>
      </w:r>
      <w:proofErr w:type="gramStart"/>
      <w:r w:rsidR="003C407A" w:rsidRPr="00E32B1D">
        <w:rPr>
          <w:rFonts w:ascii="Times New Roman" w:hAnsi="Times New Roman"/>
          <w:sz w:val="24"/>
          <w:szCs w:val="24"/>
        </w:rPr>
        <w:t>приведенными</w:t>
      </w:r>
      <w:proofErr w:type="gramEnd"/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 w:firstRow="1" w:lastRow="0" w:firstColumn="1" w:lastColumn="0" w:noHBand="0" w:noVBand="1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СНиП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СП 31.13330.2012 Актуализированная редакция СНиП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СП 32.13330.2012 Актуализированная редакция СНиП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СП 59.13330.2012 Актуализированная редакция СНиП 35-01-2001 «Доступность зданий и сооружений для маломобильных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СанПиН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СанПиН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C57EC3">
        <w:rPr>
          <w:rFonts w:ascii="Times New Roman" w:hAnsi="Times New Roman"/>
          <w:sz w:val="24"/>
          <w:szCs w:val="24"/>
        </w:rPr>
        <w:t>Малобуинковского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</w:t>
      </w:r>
      <w:proofErr w:type="gramStart"/>
      <w:r w:rsidR="00E47949" w:rsidRPr="00142697">
        <w:rPr>
          <w:sz w:val="24"/>
        </w:rPr>
        <w:t xml:space="preserve">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  <w:proofErr w:type="gramEnd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9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95" w:rsidRDefault="008B3295" w:rsidP="00F56C74">
      <w:pPr>
        <w:spacing w:after="0" w:line="240" w:lineRule="auto"/>
      </w:pPr>
      <w:r>
        <w:separator/>
      </w:r>
    </w:p>
  </w:endnote>
  <w:endnote w:type="continuationSeparator" w:id="0">
    <w:p w:rsidR="008B3295" w:rsidRDefault="008B3295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3575A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631EA9">
          <w:rPr>
            <w:rFonts w:ascii="Times New Roman" w:hAnsi="Times New Roman" w:cs="Times New Roman"/>
            <w:noProof/>
          </w:rPr>
          <w:t>3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95" w:rsidRDefault="008B3295" w:rsidP="00F56C74">
      <w:pPr>
        <w:spacing w:after="0" w:line="240" w:lineRule="auto"/>
      </w:pPr>
      <w:r>
        <w:separator/>
      </w:r>
    </w:p>
  </w:footnote>
  <w:footnote w:type="continuationSeparator" w:id="0">
    <w:p w:rsidR="008B3295" w:rsidRDefault="008B3295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E6BB2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68B9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0E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BAB"/>
    <w:rsid w:val="00441B8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237C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1EA9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595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3295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2E2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D09"/>
    <w:rsid w:val="00A35EA8"/>
    <w:rsid w:val="00A37B45"/>
    <w:rsid w:val="00A42C1A"/>
    <w:rsid w:val="00A42F9B"/>
    <w:rsid w:val="00A45133"/>
    <w:rsid w:val="00A4521E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45F4B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5D40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36A6D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C61B-0C89-4B36-AA96-228B045C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6685</Words>
  <Characters>38106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1</cp:lastModifiedBy>
  <cp:revision>10</cp:revision>
  <cp:lastPrinted>2017-11-17T08:49:00Z</cp:lastPrinted>
  <dcterms:created xsi:type="dcterms:W3CDTF">2017-11-10T08:39:00Z</dcterms:created>
  <dcterms:modified xsi:type="dcterms:W3CDTF">2017-11-17T08:50:00Z</dcterms:modified>
</cp:coreProperties>
</file>