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284" w:type="dxa"/>
        <w:tblLayout w:type="fixed"/>
        <w:tblCellMar>
          <w:left w:w="0" w:type="dxa"/>
          <w:bottom w:w="57" w:type="dxa"/>
          <w:right w:w="0" w:type="dxa"/>
        </w:tblCellMar>
        <w:tblLook w:val="04A0" w:firstRow="1" w:lastRow="0" w:firstColumn="1" w:lastColumn="0" w:noHBand="0" w:noVBand="1"/>
      </w:tblPr>
      <w:tblGrid>
        <w:gridCol w:w="4681"/>
        <w:gridCol w:w="1287"/>
        <w:gridCol w:w="4667"/>
      </w:tblGrid>
      <w:tr w:rsidR="009572C1" w:rsidTr="009572C1">
        <w:trPr>
          <w:trHeight w:val="2267"/>
        </w:trPr>
        <w:tc>
          <w:tcPr>
            <w:tcW w:w="4679" w:type="dxa"/>
            <w:tcBorders>
              <w:top w:val="nil"/>
              <w:left w:val="nil"/>
              <w:bottom w:val="single" w:sz="4" w:space="0" w:color="auto"/>
              <w:right w:val="nil"/>
            </w:tcBorders>
            <w:vAlign w:val="center"/>
          </w:tcPr>
          <w:p w:rsidR="009572C1" w:rsidRDefault="009572C1">
            <w:pPr>
              <w:jc w:val="center"/>
              <w:rPr>
                <w:rFonts w:ascii="Calibri" w:eastAsia="Calibri" w:hAnsi="Calibri" w:cs="Times New Roman"/>
                <w:b/>
                <w:color w:val="000000"/>
                <w:sz w:val="24"/>
                <w:szCs w:val="24"/>
                <w:lang w:eastAsia="en-US"/>
              </w:rPr>
            </w:pPr>
            <w:bookmarkStart w:id="0" w:name="_GoBack"/>
            <w:bookmarkEnd w:id="0"/>
            <w:r>
              <w:rPr>
                <w:b/>
                <w:sz w:val="24"/>
                <w:szCs w:val="24"/>
              </w:rPr>
              <w:t>РЕСПУБЛИКА ТАТАРСТАН</w:t>
            </w:r>
          </w:p>
          <w:p w:rsidR="009572C1" w:rsidRDefault="009572C1">
            <w:pPr>
              <w:jc w:val="center"/>
              <w:rPr>
                <w:b/>
                <w:sz w:val="24"/>
                <w:szCs w:val="24"/>
              </w:rPr>
            </w:pPr>
            <w:r>
              <w:rPr>
                <w:b/>
                <w:sz w:val="24"/>
                <w:szCs w:val="24"/>
              </w:rPr>
              <w:t>БУИНСКИЙ МУНИЦИПАЛЬНЫЙ РАЙОН</w:t>
            </w:r>
          </w:p>
          <w:p w:rsidR="009572C1" w:rsidRDefault="009572C1">
            <w:pPr>
              <w:jc w:val="center"/>
              <w:rPr>
                <w:b/>
                <w:sz w:val="24"/>
                <w:szCs w:val="24"/>
                <w:lang w:val="tt-RU"/>
              </w:rPr>
            </w:pPr>
            <w:r>
              <w:rPr>
                <w:b/>
                <w:sz w:val="24"/>
                <w:szCs w:val="24"/>
              </w:rPr>
              <w:t xml:space="preserve">СОВЕТ </w:t>
            </w:r>
            <w:r>
              <w:rPr>
                <w:b/>
                <w:sz w:val="24"/>
                <w:szCs w:val="24"/>
                <w:lang w:val="tt-RU"/>
              </w:rPr>
              <w:t>АЛ</w:t>
            </w:r>
            <w:r>
              <w:rPr>
                <w:b/>
                <w:sz w:val="24"/>
                <w:szCs w:val="24"/>
              </w:rPr>
              <w:t>Ь</w:t>
            </w:r>
            <w:r>
              <w:rPr>
                <w:b/>
                <w:sz w:val="24"/>
                <w:szCs w:val="24"/>
                <w:lang w:val="tt-RU"/>
              </w:rPr>
              <w:t>ШЕЕВСКОГО</w:t>
            </w:r>
          </w:p>
          <w:p w:rsidR="009572C1" w:rsidRDefault="009572C1">
            <w:pPr>
              <w:jc w:val="center"/>
              <w:rPr>
                <w:b/>
                <w:sz w:val="24"/>
                <w:szCs w:val="24"/>
              </w:rPr>
            </w:pPr>
            <w:r>
              <w:rPr>
                <w:b/>
                <w:sz w:val="24"/>
                <w:szCs w:val="24"/>
              </w:rPr>
              <w:t xml:space="preserve"> СЕЛЬСКОГО ПОСЕЛЕНИЯ</w:t>
            </w:r>
          </w:p>
          <w:p w:rsidR="009572C1" w:rsidRDefault="009572C1">
            <w:pPr>
              <w:jc w:val="center"/>
              <w:rPr>
                <w:b/>
                <w:color w:val="000000"/>
                <w:sz w:val="24"/>
                <w:szCs w:val="24"/>
                <w:lang w:eastAsia="en-US"/>
              </w:rPr>
            </w:pPr>
          </w:p>
        </w:tc>
        <w:tc>
          <w:tcPr>
            <w:tcW w:w="1287" w:type="dxa"/>
            <w:tcBorders>
              <w:top w:val="nil"/>
              <w:left w:val="nil"/>
              <w:bottom w:val="single" w:sz="4" w:space="0" w:color="auto"/>
              <w:right w:val="nil"/>
            </w:tcBorders>
            <w:vAlign w:val="center"/>
            <w:hideMark/>
          </w:tcPr>
          <w:p w:rsidR="009572C1" w:rsidRDefault="009572C1">
            <w:pPr>
              <w:jc w:val="center"/>
              <w:rPr>
                <w:b/>
                <w:color w:val="000000"/>
                <w:sz w:val="24"/>
                <w:szCs w:val="24"/>
                <w:lang w:eastAsia="en-US"/>
              </w:rPr>
            </w:pPr>
            <w:r>
              <w:rPr>
                <w:b/>
                <w:noProof/>
                <w:sz w:val="24"/>
                <w:szCs w:val="24"/>
              </w:rPr>
              <w:drawing>
                <wp:inline distT="0" distB="0" distL="0" distR="0">
                  <wp:extent cx="727075" cy="9074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7075" cy="907415"/>
                          </a:xfrm>
                          <a:prstGeom prst="rect">
                            <a:avLst/>
                          </a:prstGeom>
                          <a:noFill/>
                          <a:ln w="9525">
                            <a:noFill/>
                            <a:miter lim="800000"/>
                            <a:headEnd/>
                            <a:tailEnd/>
                          </a:ln>
                        </pic:spPr>
                      </pic:pic>
                    </a:graphicData>
                  </a:graphic>
                </wp:inline>
              </w:drawing>
            </w:r>
          </w:p>
        </w:tc>
        <w:tc>
          <w:tcPr>
            <w:tcW w:w="4666" w:type="dxa"/>
            <w:tcBorders>
              <w:top w:val="nil"/>
              <w:left w:val="nil"/>
              <w:bottom w:val="single" w:sz="4" w:space="0" w:color="auto"/>
              <w:right w:val="nil"/>
            </w:tcBorders>
            <w:vAlign w:val="center"/>
            <w:hideMark/>
          </w:tcPr>
          <w:p w:rsidR="009572C1" w:rsidRDefault="009572C1">
            <w:pPr>
              <w:jc w:val="center"/>
              <w:rPr>
                <w:rFonts w:ascii="Calibri" w:eastAsia="Calibri" w:hAnsi="Calibri" w:cs="Times New Roman"/>
                <w:b/>
                <w:color w:val="000000"/>
                <w:sz w:val="24"/>
                <w:szCs w:val="24"/>
                <w:lang w:eastAsia="en-US"/>
              </w:rPr>
            </w:pPr>
            <w:r>
              <w:rPr>
                <w:b/>
                <w:sz w:val="24"/>
                <w:szCs w:val="24"/>
              </w:rPr>
              <w:t>ТАТАРСТАН РЕСПУБЛИКАСЫ</w:t>
            </w:r>
          </w:p>
          <w:p w:rsidR="009572C1" w:rsidRDefault="009572C1">
            <w:pPr>
              <w:jc w:val="center"/>
              <w:rPr>
                <w:b/>
                <w:sz w:val="24"/>
                <w:szCs w:val="24"/>
              </w:rPr>
            </w:pPr>
            <w:r>
              <w:rPr>
                <w:b/>
                <w:sz w:val="24"/>
                <w:szCs w:val="24"/>
              </w:rPr>
              <w:t xml:space="preserve">БУА МУНИЦИПАЛЬ РАЙОНЫ </w:t>
            </w:r>
          </w:p>
          <w:p w:rsidR="009572C1" w:rsidRDefault="009572C1">
            <w:pPr>
              <w:jc w:val="center"/>
              <w:rPr>
                <w:b/>
                <w:sz w:val="24"/>
                <w:szCs w:val="24"/>
                <w:lang w:val="tt-RU"/>
              </w:rPr>
            </w:pPr>
            <w:r>
              <w:rPr>
                <w:b/>
                <w:sz w:val="24"/>
                <w:szCs w:val="24"/>
                <w:lang w:val="tt-RU"/>
              </w:rPr>
              <w:t>ӘЛШИ</w:t>
            </w:r>
          </w:p>
          <w:p w:rsidR="009572C1" w:rsidRDefault="009572C1">
            <w:pPr>
              <w:jc w:val="center"/>
              <w:rPr>
                <w:b/>
                <w:color w:val="000000"/>
                <w:sz w:val="24"/>
                <w:szCs w:val="24"/>
                <w:lang w:eastAsia="en-US"/>
              </w:rPr>
            </w:pPr>
            <w:r>
              <w:rPr>
                <w:b/>
                <w:sz w:val="24"/>
                <w:szCs w:val="24"/>
              </w:rPr>
              <w:t xml:space="preserve">АВЫЛ </w:t>
            </w:r>
            <w:r>
              <w:rPr>
                <w:b/>
                <w:sz w:val="24"/>
                <w:szCs w:val="24"/>
                <w:lang w:val="tt-RU"/>
              </w:rPr>
              <w:t xml:space="preserve">ҖИРЛЕГЕ </w:t>
            </w:r>
            <w:r>
              <w:rPr>
                <w:b/>
                <w:sz w:val="24"/>
                <w:szCs w:val="24"/>
              </w:rPr>
              <w:t xml:space="preserve">СОВЕТЫ </w:t>
            </w:r>
            <w:r>
              <w:rPr>
                <w:b/>
                <w:sz w:val="24"/>
                <w:szCs w:val="24"/>
              </w:rPr>
              <w:br/>
            </w:r>
          </w:p>
        </w:tc>
      </w:tr>
    </w:tbl>
    <w:p w:rsidR="009572C1" w:rsidRDefault="009572C1" w:rsidP="009572C1">
      <w:pPr>
        <w:rPr>
          <w:rFonts w:ascii="Calibri" w:hAnsi="Calibri"/>
          <w:color w:val="000000"/>
          <w:sz w:val="20"/>
          <w:szCs w:val="20"/>
          <w:lang w:eastAsia="en-US"/>
        </w:rPr>
      </w:pPr>
    </w:p>
    <w:p w:rsidR="009572C1" w:rsidRPr="009572C1" w:rsidRDefault="009572C1" w:rsidP="009572C1">
      <w:pPr>
        <w:jc w:val="center"/>
        <w:rPr>
          <w:b/>
          <w:sz w:val="24"/>
          <w:szCs w:val="24"/>
        </w:rPr>
      </w:pPr>
      <w:r w:rsidRPr="009572C1">
        <w:rPr>
          <w:b/>
          <w:sz w:val="24"/>
          <w:szCs w:val="24"/>
        </w:rPr>
        <w:t>КАРАР</w:t>
      </w:r>
    </w:p>
    <w:p w:rsidR="009572C1" w:rsidRPr="009572C1" w:rsidRDefault="009572C1" w:rsidP="009572C1">
      <w:pPr>
        <w:jc w:val="center"/>
        <w:rPr>
          <w:b/>
          <w:sz w:val="24"/>
          <w:szCs w:val="24"/>
        </w:rPr>
      </w:pPr>
      <w:r w:rsidRPr="009572C1">
        <w:rPr>
          <w:b/>
          <w:sz w:val="24"/>
          <w:szCs w:val="24"/>
        </w:rPr>
        <w:t>РЕШЕНИЕ</w:t>
      </w:r>
    </w:p>
    <w:p w:rsidR="009572C1" w:rsidRDefault="009572C1" w:rsidP="009572C1">
      <w:pPr>
        <w:ind w:firstLine="708"/>
        <w:rPr>
          <w:sz w:val="24"/>
          <w:szCs w:val="24"/>
        </w:rPr>
      </w:pPr>
      <w:r>
        <w:rPr>
          <w:sz w:val="24"/>
          <w:szCs w:val="24"/>
        </w:rPr>
        <w:t>12 октября  2015 года                                                                                          № 2-5</w:t>
      </w:r>
    </w:p>
    <w:p w:rsidR="009572C1" w:rsidRDefault="009572C1" w:rsidP="009572C1">
      <w:pPr>
        <w:spacing w:after="0" w:line="240" w:lineRule="auto"/>
        <w:rPr>
          <w:rFonts w:ascii="Times New Roman" w:hAnsi="Times New Roman"/>
          <w:sz w:val="24"/>
          <w:szCs w:val="24"/>
        </w:rPr>
      </w:pPr>
      <w:r>
        <w:rPr>
          <w:rFonts w:ascii="Times New Roman" w:hAnsi="Times New Roman"/>
          <w:sz w:val="24"/>
          <w:szCs w:val="24"/>
        </w:rPr>
        <w:t xml:space="preserve">«О порядке проведения анализа </w:t>
      </w:r>
      <w:proofErr w:type="gramStart"/>
      <w:r>
        <w:rPr>
          <w:rFonts w:ascii="Times New Roman" w:hAnsi="Times New Roman"/>
          <w:sz w:val="24"/>
          <w:szCs w:val="24"/>
        </w:rPr>
        <w:t>поступивших</w:t>
      </w:r>
      <w:proofErr w:type="gramEnd"/>
      <w:r>
        <w:rPr>
          <w:rFonts w:ascii="Times New Roman" w:hAnsi="Times New Roman"/>
          <w:sz w:val="24"/>
          <w:szCs w:val="24"/>
        </w:rPr>
        <w:t xml:space="preserve"> </w:t>
      </w:r>
    </w:p>
    <w:p w:rsidR="009572C1" w:rsidRDefault="009572C1" w:rsidP="009572C1">
      <w:pPr>
        <w:spacing w:after="0" w:line="240" w:lineRule="auto"/>
        <w:rPr>
          <w:rFonts w:ascii="Times New Roman" w:hAnsi="Times New Roman"/>
          <w:sz w:val="24"/>
          <w:szCs w:val="24"/>
        </w:rPr>
      </w:pPr>
      <w:r>
        <w:rPr>
          <w:rFonts w:ascii="Times New Roman" w:hAnsi="Times New Roman"/>
          <w:sz w:val="24"/>
          <w:szCs w:val="24"/>
        </w:rPr>
        <w:t>в органы Альшеевского сельского поселения</w:t>
      </w:r>
    </w:p>
    <w:p w:rsidR="009572C1" w:rsidRDefault="009572C1" w:rsidP="009572C1">
      <w:pPr>
        <w:spacing w:after="0" w:line="240" w:lineRule="auto"/>
        <w:rPr>
          <w:rFonts w:ascii="Times New Roman" w:hAnsi="Times New Roman"/>
          <w:sz w:val="24"/>
          <w:szCs w:val="24"/>
        </w:rPr>
      </w:pPr>
      <w:r>
        <w:rPr>
          <w:rFonts w:ascii="Times New Roman" w:hAnsi="Times New Roman"/>
          <w:sz w:val="24"/>
          <w:szCs w:val="24"/>
        </w:rPr>
        <w:t xml:space="preserve"> Буинского муниципального района </w:t>
      </w:r>
    </w:p>
    <w:p w:rsidR="009572C1" w:rsidRDefault="009572C1" w:rsidP="009572C1">
      <w:pPr>
        <w:spacing w:after="0" w:line="240" w:lineRule="auto"/>
        <w:rPr>
          <w:rFonts w:ascii="Times New Roman" w:hAnsi="Times New Roman"/>
          <w:sz w:val="24"/>
          <w:szCs w:val="24"/>
        </w:rPr>
      </w:pPr>
      <w:r>
        <w:rPr>
          <w:rFonts w:ascii="Times New Roman" w:hAnsi="Times New Roman"/>
          <w:sz w:val="24"/>
          <w:szCs w:val="24"/>
        </w:rPr>
        <w:t>Республики Татарстан обращений граждан и организаций»</w:t>
      </w:r>
    </w:p>
    <w:p w:rsidR="009572C1" w:rsidRDefault="009572C1" w:rsidP="009572C1">
      <w:pPr>
        <w:spacing w:after="0" w:line="240" w:lineRule="auto"/>
        <w:rPr>
          <w:rFonts w:ascii="Times New Roman" w:hAnsi="Times New Roman"/>
          <w:sz w:val="24"/>
          <w:szCs w:val="24"/>
        </w:rPr>
      </w:pPr>
    </w:p>
    <w:p w:rsidR="009572C1" w:rsidRDefault="009572C1" w:rsidP="009572C1">
      <w:pPr>
        <w:spacing w:after="0" w:line="240" w:lineRule="auto"/>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Федерального закона от 02.05.2006 г. № 59-ФЗ (ред. 24.11.2014г.) «О порядке рассмотрения обращений граждан Российской Федерации», Закона Республики Татарстан от 11.04.2003 г. № 16-ЗРТ «Об обращениях граждан в Республике Татарстан», Совет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w:t>
      </w:r>
    </w:p>
    <w:p w:rsidR="009572C1" w:rsidRDefault="009572C1" w:rsidP="009572C1">
      <w:pPr>
        <w:spacing w:after="0" w:line="240" w:lineRule="auto"/>
        <w:jc w:val="center"/>
        <w:rPr>
          <w:rFonts w:ascii="Times New Roman" w:hAnsi="Times New Roman"/>
          <w:b/>
          <w:sz w:val="24"/>
          <w:szCs w:val="24"/>
        </w:rPr>
      </w:pPr>
      <w:r>
        <w:rPr>
          <w:rFonts w:ascii="Times New Roman" w:hAnsi="Times New Roman"/>
          <w:b/>
          <w:sz w:val="24"/>
          <w:szCs w:val="24"/>
        </w:rPr>
        <w:t>РЕШИЛ:</w:t>
      </w: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1. Утвердить прилагаемый порядок проведения анализа поступивших в органы местного </w:t>
      </w:r>
      <w:proofErr w:type="spellStart"/>
      <w:r>
        <w:rPr>
          <w:rFonts w:ascii="Times New Roman" w:hAnsi="Times New Roman"/>
          <w:sz w:val="24"/>
          <w:szCs w:val="24"/>
        </w:rPr>
        <w:t>самоупрваления</w:t>
      </w:r>
      <w:proofErr w:type="spellEnd"/>
      <w:r>
        <w:rPr>
          <w:rFonts w:ascii="Times New Roman" w:hAnsi="Times New Roman"/>
          <w:sz w:val="24"/>
          <w:szCs w:val="24"/>
        </w:rPr>
        <w:t xml:space="preserve">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Республики Татарстан обращений граждан и организаций.</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2. Секретарю Исполнительного комитета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обеспечить размещение настоящего решения на портале муниципальных образований в телекоммуникационной сети «Интернет» по адресу: http://buinsk.tatarstan.ru/.</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Решения оставляю за собой.</w:t>
      </w: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Глава Альшеевского </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сельского поселения </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Буинского муниципального района                                                В.П. </w:t>
      </w:r>
      <w:proofErr w:type="spellStart"/>
      <w:r>
        <w:rPr>
          <w:rFonts w:ascii="Times New Roman" w:hAnsi="Times New Roman"/>
          <w:sz w:val="24"/>
          <w:szCs w:val="24"/>
        </w:rPr>
        <w:t>Сюрмин</w:t>
      </w:r>
      <w:proofErr w:type="spellEnd"/>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jc w:val="both"/>
        <w:rPr>
          <w:rFonts w:ascii="Times New Roman" w:hAnsi="Times New Roman"/>
          <w:sz w:val="20"/>
          <w:szCs w:val="20"/>
        </w:rPr>
      </w:pPr>
    </w:p>
    <w:p w:rsidR="009572C1" w:rsidRDefault="009572C1" w:rsidP="009572C1">
      <w:pPr>
        <w:spacing w:after="0" w:line="240" w:lineRule="auto"/>
        <w:rPr>
          <w:rFonts w:ascii="Times New Roman" w:hAnsi="Times New Roman"/>
        </w:rPr>
      </w:pPr>
      <w:r>
        <w:rPr>
          <w:rFonts w:ascii="Times New Roman" w:hAnsi="Times New Roman"/>
        </w:rPr>
        <w:lastRenderedPageBreak/>
        <w:t xml:space="preserve">                                                                                                             </w:t>
      </w:r>
      <w:proofErr w:type="gramStart"/>
      <w:r>
        <w:rPr>
          <w:rFonts w:ascii="Times New Roman" w:hAnsi="Times New Roman"/>
        </w:rPr>
        <w:t>Утвержден</w:t>
      </w:r>
      <w:proofErr w:type="gramEnd"/>
      <w:r>
        <w:rPr>
          <w:rFonts w:ascii="Times New Roman" w:hAnsi="Times New Roman"/>
        </w:rPr>
        <w:t xml:space="preserve"> Решением</w:t>
      </w:r>
    </w:p>
    <w:p w:rsidR="009572C1" w:rsidRDefault="009572C1" w:rsidP="009572C1">
      <w:pPr>
        <w:spacing w:after="0" w:line="240" w:lineRule="auto"/>
        <w:jc w:val="right"/>
        <w:rPr>
          <w:rFonts w:ascii="Times New Roman" w:hAnsi="Times New Roman"/>
        </w:rPr>
      </w:pPr>
      <w:r>
        <w:rPr>
          <w:rFonts w:ascii="Times New Roman" w:hAnsi="Times New Roman"/>
        </w:rPr>
        <w:t xml:space="preserve">                                                                                                    </w:t>
      </w:r>
      <w:proofErr w:type="spellStart"/>
      <w:r>
        <w:rPr>
          <w:rFonts w:ascii="Times New Roman" w:hAnsi="Times New Roman"/>
        </w:rPr>
        <w:t>Альшеевского</w:t>
      </w:r>
      <w:proofErr w:type="spellEnd"/>
      <w:r>
        <w:rPr>
          <w:rFonts w:ascii="Times New Roman" w:hAnsi="Times New Roman"/>
        </w:rPr>
        <w:t xml:space="preserve"> сельского поселения                            Буинского муниципального района</w:t>
      </w:r>
    </w:p>
    <w:p w:rsidR="009572C1" w:rsidRDefault="009572C1" w:rsidP="009572C1">
      <w:pPr>
        <w:spacing w:after="0" w:line="240" w:lineRule="auto"/>
        <w:rPr>
          <w:rFonts w:ascii="Times New Roman" w:hAnsi="Times New Roman"/>
        </w:rPr>
      </w:pPr>
      <w:r>
        <w:rPr>
          <w:rFonts w:ascii="Times New Roman" w:hAnsi="Times New Roman"/>
        </w:rPr>
        <w:t xml:space="preserve">                                                                                                              от «12»  октября 2015г.№ 2-5</w:t>
      </w:r>
    </w:p>
    <w:p w:rsidR="009572C1" w:rsidRDefault="009572C1" w:rsidP="009572C1">
      <w:pPr>
        <w:spacing w:after="0" w:line="240" w:lineRule="auto"/>
        <w:rPr>
          <w:rFonts w:ascii="Times New Roman" w:hAnsi="Times New Roman"/>
          <w:sz w:val="24"/>
          <w:szCs w:val="24"/>
        </w:rPr>
      </w:pP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 xml:space="preserve">Порядок </w:t>
      </w: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 xml:space="preserve">проведения анализа </w:t>
      </w:r>
      <w:proofErr w:type="gramStart"/>
      <w:r>
        <w:rPr>
          <w:rFonts w:ascii="Times New Roman" w:hAnsi="Times New Roman"/>
          <w:sz w:val="24"/>
          <w:szCs w:val="24"/>
        </w:rPr>
        <w:t>поступивших</w:t>
      </w:r>
      <w:proofErr w:type="gramEnd"/>
      <w:r>
        <w:rPr>
          <w:rFonts w:ascii="Times New Roman" w:hAnsi="Times New Roman"/>
          <w:sz w:val="24"/>
          <w:szCs w:val="24"/>
        </w:rPr>
        <w:t xml:space="preserve"> в</w:t>
      </w: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органы местного самоуправления Альшеевского</w:t>
      </w: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сельского поселения Буинского муниципального района</w:t>
      </w: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 xml:space="preserve">Республики Татарстан </w:t>
      </w:r>
    </w:p>
    <w:p w:rsidR="009572C1" w:rsidRDefault="009572C1" w:rsidP="009572C1">
      <w:pPr>
        <w:spacing w:after="0" w:line="240" w:lineRule="auto"/>
        <w:jc w:val="center"/>
        <w:rPr>
          <w:rFonts w:ascii="Times New Roman" w:hAnsi="Times New Roman"/>
          <w:sz w:val="24"/>
          <w:szCs w:val="24"/>
        </w:rPr>
      </w:pPr>
      <w:r>
        <w:rPr>
          <w:rFonts w:ascii="Times New Roman" w:hAnsi="Times New Roman"/>
          <w:sz w:val="24"/>
          <w:szCs w:val="24"/>
        </w:rPr>
        <w:t>обращений граждан и организаций.</w:t>
      </w:r>
    </w:p>
    <w:p w:rsidR="009572C1" w:rsidRDefault="009572C1" w:rsidP="009572C1">
      <w:pPr>
        <w:spacing w:after="0" w:line="240" w:lineRule="auto"/>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 xml:space="preserve">Настоящий Порядок разработан во исполнение статьи 14 Федерального закона от 02 мая 2006 года № 59-ФЗ (ред. 24.11.2014г.) «О порядке рассмотрения обращений граждан Российской Федерации», статьи 23 Закона Республики Татарстан от 11 апреля 2003 года № 16-ЗРТ «Об обращениях граждан в Республике Татарстан» и устанавливает процедуру обобщения и анализа поступивших обращений граждан и организаций (далее – анализ) в органы местного самоуправления </w:t>
      </w:r>
      <w:proofErr w:type="spellStart"/>
      <w:r>
        <w:rPr>
          <w:rFonts w:ascii="Times New Roman" w:hAnsi="Times New Roman"/>
          <w:sz w:val="24"/>
          <w:szCs w:val="24"/>
        </w:rPr>
        <w:t>Альшеевского</w:t>
      </w:r>
      <w:proofErr w:type="spellEnd"/>
      <w:proofErr w:type="gramEnd"/>
      <w:r>
        <w:rPr>
          <w:rFonts w:ascii="Times New Roman" w:hAnsi="Times New Roman"/>
          <w:sz w:val="24"/>
          <w:szCs w:val="24"/>
        </w:rPr>
        <w:t xml:space="preserve"> сельского поселения Буинского муниципального района (Совет).</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2. При проведении анализа изучается информация о поступивших обращениях граждан, в том числе информация о нормативных правовых и иных актах (при наличии), принятых в результате рассмотрения обращения.</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Обобщение и анализ обращений осуществляются секретарем Исполнительного комитета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(далее – секретарь) на основании данных Журнала (Книги), в котором фиксируются все заявления-обращения граждан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Республики Татарстан (далее – Журнал), который прошит, прошнурован, пронумерован и скреплен печатью.</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4. Секретарь осуществляет анализ поступивших обращений граждан и организаций два раза в год, до 15 числа месяца, следующего за последним месяцем полугодия.</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5. Информация об обращениях, поступивших на личном и выездном приеме Главы Альшеевского сельского поселения - Руководителя Исполнительного комитета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(далее – Глава) также фиксируется в Журнале секретарем.</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6. При обработке Информации об обращениях, секретарь до 10 </w:t>
      </w:r>
      <w:proofErr w:type="gramStart"/>
      <w:r>
        <w:rPr>
          <w:rFonts w:ascii="Times New Roman" w:hAnsi="Times New Roman"/>
          <w:sz w:val="24"/>
          <w:szCs w:val="24"/>
        </w:rPr>
        <w:t>числа месяца, следующего за последним месяцем полугодия осуществляет</w:t>
      </w:r>
      <w:proofErr w:type="gramEnd"/>
      <w:r>
        <w:rPr>
          <w:rFonts w:ascii="Times New Roman" w:hAnsi="Times New Roman"/>
          <w:sz w:val="24"/>
          <w:szCs w:val="24"/>
        </w:rPr>
        <w:t xml:space="preserve"> обобщение поступивших за отчетный период обращений.</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Анализ осуществляется в форме заполнения таблицы, которая в электронном виде хранится в Исполкоме и подлежит обязательному размещению на портале муниципальных образований.</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таблице при осуществлении анализа поступивших обращений указываются Ф.И.О. обратившегося гражданина либо наименование организации (юридического лица), дата обращения, адрес места жительства гражданина либо местонахождение организации (юридического лица), тип обращения, Ф.И.О., должность принявшего обращение, суть обращения, результат рассмотрения обращения. В результате заполнения таблицы, секретарь получает общую картину поступивших обращений, по </w:t>
      </w:r>
      <w:r>
        <w:rPr>
          <w:rFonts w:ascii="Times New Roman" w:hAnsi="Times New Roman"/>
          <w:szCs w:val="24"/>
        </w:rPr>
        <w:t>итогам</w:t>
      </w:r>
      <w:r>
        <w:rPr>
          <w:rFonts w:ascii="Times New Roman" w:hAnsi="Times New Roman"/>
          <w:sz w:val="24"/>
          <w:szCs w:val="24"/>
        </w:rPr>
        <w:t xml:space="preserve"> которой делит обращения по группам с описанием каждой из них.</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проведения каких-либо особенных дней выездного приема граждан, приуроченных к тем или иным праздничным дням либо памятным событиям, обращения принятые в результате таких дней, подвергаются учету на общих основаниях, предусмотренных порядком рассмотрения обращений граждан и юридических лиц в органах местного самоуправления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7. По окончании анализа секретарь излагает выводы и предложения, в выводах описывает прогноз роста количества обращений и указывает информацию о перенаправленных обращениях, в предложениях – те или иные предложения по улучшению качества результатов рассмотрения, а также ускорению процесса рассмотрения обращений граждан.</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Контроль за состоянием работы по рассмотрению обращений граждан и приему граждан в </w:t>
      </w:r>
      <w:proofErr w:type="gramStart"/>
      <w:r>
        <w:rPr>
          <w:rFonts w:ascii="Times New Roman" w:hAnsi="Times New Roman"/>
          <w:sz w:val="24"/>
          <w:szCs w:val="24"/>
        </w:rPr>
        <w:t>органах</w:t>
      </w:r>
      <w:proofErr w:type="gramEnd"/>
      <w:r>
        <w:rPr>
          <w:rFonts w:ascii="Times New Roman" w:hAnsi="Times New Roman"/>
          <w:sz w:val="24"/>
          <w:szCs w:val="24"/>
        </w:rPr>
        <w:t xml:space="preserve"> местного самоуправления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и должностными лицами осуществляет Глава сельского поселения.</w:t>
      </w:r>
    </w:p>
    <w:p w:rsidR="009572C1" w:rsidRDefault="009572C1" w:rsidP="009572C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Органы местного самоуправления </w:t>
      </w:r>
      <w:proofErr w:type="spellStart"/>
      <w:r>
        <w:rPr>
          <w:rFonts w:ascii="Times New Roman" w:hAnsi="Times New Roman"/>
          <w:sz w:val="24"/>
          <w:szCs w:val="24"/>
        </w:rPr>
        <w:t>Альшеевского</w:t>
      </w:r>
      <w:proofErr w:type="spellEnd"/>
      <w:r>
        <w:rPr>
          <w:rFonts w:ascii="Times New Roman" w:hAnsi="Times New Roman"/>
          <w:sz w:val="24"/>
          <w:szCs w:val="24"/>
        </w:rPr>
        <w:t xml:space="preserve"> сельского поселения Буинского муниципального района и должностные лица обязаны содействовать в ведении учета, анализе и обобщении вопросов, содержащихся в обращениях граждан, и устранять причины и условия, порождающие нарушения прав, свобод и законных интересов граждан.</w:t>
      </w: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spacing w:after="0" w:line="240" w:lineRule="auto"/>
        <w:ind w:firstLine="567"/>
        <w:jc w:val="both"/>
        <w:rPr>
          <w:rFonts w:ascii="Times New Roman" w:hAnsi="Times New Roman"/>
          <w:sz w:val="24"/>
          <w:szCs w:val="24"/>
        </w:rPr>
      </w:pPr>
    </w:p>
    <w:p w:rsidR="009572C1" w:rsidRDefault="009572C1" w:rsidP="009572C1">
      <w:pPr>
        <w:pStyle w:val="ConsPlusNormal"/>
        <w:ind w:firstLine="709"/>
        <w:jc w:val="both"/>
        <w:rPr>
          <w:rFonts w:ascii="Times New Roman" w:hAnsi="Times New Roman" w:cs="Times New Roman"/>
          <w:sz w:val="28"/>
          <w:szCs w:val="28"/>
        </w:rPr>
      </w:pPr>
    </w:p>
    <w:p w:rsidR="00E472FD" w:rsidRDefault="00E472FD"/>
    <w:sectPr w:rsidR="00E47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C1"/>
    <w:rsid w:val="002C2894"/>
    <w:rsid w:val="009572C1"/>
    <w:rsid w:val="00E4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2C1"/>
    <w:pPr>
      <w:autoSpaceDE w:val="0"/>
      <w:autoSpaceDN w:val="0"/>
      <w:adjustRightInd w:val="0"/>
      <w:spacing w:after="0" w:line="240" w:lineRule="auto"/>
    </w:pPr>
    <w:rPr>
      <w:rFonts w:ascii="Arial" w:eastAsia="Calibri" w:hAnsi="Arial" w:cs="Arial"/>
      <w:sz w:val="20"/>
      <w:szCs w:val="20"/>
      <w:lang w:eastAsia="en-US"/>
    </w:rPr>
  </w:style>
  <w:style w:type="paragraph" w:styleId="a3">
    <w:name w:val="Balloon Text"/>
    <w:basedOn w:val="a"/>
    <w:link w:val="a4"/>
    <w:uiPriority w:val="99"/>
    <w:semiHidden/>
    <w:unhideWhenUsed/>
    <w:rsid w:val="00957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72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2C1"/>
    <w:pPr>
      <w:autoSpaceDE w:val="0"/>
      <w:autoSpaceDN w:val="0"/>
      <w:adjustRightInd w:val="0"/>
      <w:spacing w:after="0" w:line="240" w:lineRule="auto"/>
    </w:pPr>
    <w:rPr>
      <w:rFonts w:ascii="Arial" w:eastAsia="Calibri" w:hAnsi="Arial" w:cs="Arial"/>
      <w:sz w:val="20"/>
      <w:szCs w:val="20"/>
      <w:lang w:eastAsia="en-US"/>
    </w:rPr>
  </w:style>
  <w:style w:type="paragraph" w:styleId="a3">
    <w:name w:val="Balloon Text"/>
    <w:basedOn w:val="a"/>
    <w:link w:val="a4"/>
    <w:uiPriority w:val="99"/>
    <w:semiHidden/>
    <w:unhideWhenUsed/>
    <w:rsid w:val="00957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7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it_отдел</cp:lastModifiedBy>
  <cp:revision>2</cp:revision>
  <dcterms:created xsi:type="dcterms:W3CDTF">2015-11-19T06:00:00Z</dcterms:created>
  <dcterms:modified xsi:type="dcterms:W3CDTF">2015-11-19T06:00:00Z</dcterms:modified>
</cp:coreProperties>
</file>