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C0173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БЮРГАНСКОГО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C0173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C01738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02 июня 2025 года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C01738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№ 1-104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Положение о статусе </w:t>
      </w:r>
    </w:p>
    <w:p w:rsidR="008B0DE0" w:rsidRPr="00977B51" w:rsidRDefault="00C01738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депутата Совета </w:t>
      </w:r>
      <w:proofErr w:type="spellStart"/>
      <w:r>
        <w:rPr>
          <w:rFonts w:ascii="Arial" w:hAnsi="Arial" w:cs="Arial"/>
        </w:rPr>
        <w:t>Бюрганского</w:t>
      </w:r>
      <w:proofErr w:type="spellEnd"/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сельского поселения Буинского 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муниципального района Республики Татарстан  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с целью пр</w:t>
      </w:r>
      <w:r w:rsidRPr="00977B51">
        <w:rPr>
          <w:rFonts w:ascii="Arial" w:hAnsi="Arial" w:cs="Arial"/>
        </w:rPr>
        <w:t>и</w:t>
      </w:r>
      <w:r w:rsidRPr="00977B51">
        <w:rPr>
          <w:rFonts w:ascii="Arial" w:hAnsi="Arial" w:cs="Arial"/>
        </w:rPr>
        <w:t>ведения муниципального нормативного правового акта в соответствие с законодател</w:t>
      </w:r>
      <w:r w:rsidRPr="00977B51">
        <w:rPr>
          <w:rFonts w:ascii="Arial" w:hAnsi="Arial" w:cs="Arial"/>
        </w:rPr>
        <w:t>ь</w:t>
      </w:r>
      <w:r w:rsidRPr="00977B51">
        <w:rPr>
          <w:rFonts w:ascii="Arial" w:hAnsi="Arial" w:cs="Arial"/>
        </w:rPr>
        <w:t xml:space="preserve">ством, Совет </w:t>
      </w:r>
      <w:proofErr w:type="spellStart"/>
      <w:r w:rsidR="00C01738">
        <w:rPr>
          <w:rFonts w:ascii="Arial" w:hAnsi="Arial" w:cs="Arial"/>
        </w:rPr>
        <w:t>Бюрганского</w:t>
      </w:r>
      <w:proofErr w:type="spellEnd"/>
      <w:r w:rsidRPr="00977B51">
        <w:rPr>
          <w:rFonts w:ascii="Arial" w:hAnsi="Arial" w:cs="Arial"/>
        </w:rPr>
        <w:t xml:space="preserve"> сельского поселения Буинского муниципального района Ре</w:t>
      </w:r>
      <w:r w:rsidRPr="00977B51">
        <w:rPr>
          <w:rFonts w:ascii="Arial" w:hAnsi="Arial" w:cs="Arial"/>
        </w:rPr>
        <w:t>с</w:t>
      </w:r>
      <w:r w:rsidRPr="00977B51">
        <w:rPr>
          <w:rFonts w:ascii="Arial" w:hAnsi="Arial" w:cs="Arial"/>
        </w:rPr>
        <w:t>публики Татарстан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proofErr w:type="gramStart"/>
      <w:r w:rsidRPr="00977B51">
        <w:rPr>
          <w:rFonts w:ascii="Arial" w:hAnsi="Arial" w:cs="Arial"/>
        </w:rPr>
        <w:t xml:space="preserve">Положение  о статусе депутата Совета </w:t>
      </w:r>
      <w:proofErr w:type="spellStart"/>
      <w:r w:rsidR="00C01738">
        <w:rPr>
          <w:rFonts w:ascii="Arial" w:hAnsi="Arial" w:cs="Arial"/>
        </w:rPr>
        <w:t>Бюрганского</w:t>
      </w:r>
      <w:proofErr w:type="spellEnd"/>
      <w:r w:rsidRPr="00977B51">
        <w:rPr>
          <w:rFonts w:ascii="Arial" w:hAnsi="Arial" w:cs="Arial"/>
        </w:rPr>
        <w:t xml:space="preserve"> сельского поселения Буинск</w:t>
      </w:r>
      <w:r w:rsidRPr="00977B51">
        <w:rPr>
          <w:rFonts w:ascii="Arial" w:hAnsi="Arial" w:cs="Arial"/>
        </w:rPr>
        <w:t>о</w:t>
      </w:r>
      <w:r w:rsidRPr="00977B51">
        <w:rPr>
          <w:rFonts w:ascii="Arial" w:hAnsi="Arial" w:cs="Arial"/>
        </w:rPr>
        <w:t xml:space="preserve">го муниципального района Республики Татарстан, утвержденное решение Совета </w:t>
      </w:r>
      <w:proofErr w:type="spellStart"/>
      <w:r w:rsidR="00C01738">
        <w:rPr>
          <w:rFonts w:ascii="Arial" w:hAnsi="Arial" w:cs="Arial"/>
        </w:rPr>
        <w:t>Бю</w:t>
      </w:r>
      <w:r w:rsidR="00C01738">
        <w:rPr>
          <w:rFonts w:ascii="Arial" w:hAnsi="Arial" w:cs="Arial"/>
        </w:rPr>
        <w:t>р</w:t>
      </w:r>
      <w:r w:rsidR="00C01738">
        <w:rPr>
          <w:rFonts w:ascii="Arial" w:hAnsi="Arial" w:cs="Arial"/>
        </w:rPr>
        <w:t>ганского</w:t>
      </w:r>
      <w:proofErr w:type="spellEnd"/>
      <w:r w:rsidR="006425B9">
        <w:rPr>
          <w:rFonts w:ascii="Arial" w:hAnsi="Arial" w:cs="Arial"/>
        </w:rPr>
        <w:t xml:space="preserve">   </w:t>
      </w:r>
      <w:r w:rsidRPr="00977B51">
        <w:rPr>
          <w:rFonts w:ascii="Arial" w:hAnsi="Arial" w:cs="Arial"/>
        </w:rPr>
        <w:t xml:space="preserve"> сельского поселения Буинского муниципального района Республики Татарстан от </w:t>
      </w:r>
      <w:r w:rsidR="00C01738">
        <w:rPr>
          <w:rFonts w:ascii="Arial" w:hAnsi="Arial" w:cs="Arial"/>
        </w:rPr>
        <w:t xml:space="preserve">01.02.2021 </w:t>
      </w:r>
      <w:r w:rsidRPr="00977B51">
        <w:rPr>
          <w:rFonts w:ascii="Arial" w:hAnsi="Arial" w:cs="Arial"/>
        </w:rPr>
        <w:t xml:space="preserve"> № </w:t>
      </w:r>
      <w:r w:rsidR="00C01738">
        <w:rPr>
          <w:rFonts w:ascii="Arial" w:hAnsi="Arial" w:cs="Arial"/>
        </w:rPr>
        <w:t>2-13</w:t>
      </w:r>
      <w:r w:rsidR="006425B9">
        <w:rPr>
          <w:rFonts w:ascii="Arial" w:hAnsi="Arial" w:cs="Arial"/>
        </w:rPr>
        <w:t xml:space="preserve"> </w:t>
      </w:r>
      <w:r w:rsidRPr="00977B51">
        <w:rPr>
          <w:rFonts w:ascii="Arial" w:hAnsi="Arial" w:cs="Arial"/>
        </w:rPr>
        <w:t xml:space="preserve">«Об утверждении Положения  о статусе депутата Совета </w:t>
      </w:r>
      <w:proofErr w:type="spellStart"/>
      <w:r w:rsidR="00C01738">
        <w:rPr>
          <w:rFonts w:ascii="Arial" w:hAnsi="Arial" w:cs="Arial"/>
        </w:rPr>
        <w:t>Бюрга</w:t>
      </w:r>
      <w:r w:rsidR="00C01738">
        <w:rPr>
          <w:rFonts w:ascii="Arial" w:hAnsi="Arial" w:cs="Arial"/>
        </w:rPr>
        <w:t>н</w:t>
      </w:r>
      <w:r w:rsidR="00C01738">
        <w:rPr>
          <w:rFonts w:ascii="Arial" w:hAnsi="Arial" w:cs="Arial"/>
        </w:rPr>
        <w:t>ского</w:t>
      </w:r>
      <w:proofErr w:type="spellEnd"/>
      <w:r w:rsidRPr="00977B51">
        <w:rPr>
          <w:rFonts w:ascii="Arial" w:hAnsi="Arial" w:cs="Arial"/>
        </w:rPr>
        <w:t xml:space="preserve"> сельского поселения Буинского муниципального района Республики Татарстан» (в редакции р</w:t>
      </w:r>
      <w:r w:rsidRPr="00977B51">
        <w:rPr>
          <w:rFonts w:ascii="Arial" w:hAnsi="Arial" w:cs="Arial"/>
        </w:rPr>
        <w:t>е</w:t>
      </w:r>
      <w:r w:rsidRPr="00977B51">
        <w:rPr>
          <w:rFonts w:ascii="Arial" w:hAnsi="Arial" w:cs="Arial"/>
        </w:rPr>
        <w:t xml:space="preserve">шений </w:t>
      </w:r>
      <w:r w:rsidR="00C01738">
        <w:rPr>
          <w:rFonts w:ascii="Arial" w:hAnsi="Arial" w:cs="Arial"/>
        </w:rPr>
        <w:t>15.02.2022 № 1-39</w:t>
      </w:r>
      <w:r w:rsidRPr="00977B51">
        <w:rPr>
          <w:rFonts w:ascii="Arial" w:hAnsi="Arial" w:cs="Arial"/>
        </w:rPr>
        <w:t>) внести следующие изменения и дополнения:</w:t>
      </w:r>
      <w:proofErr w:type="gramEnd"/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1.1. Статья 10:</w:t>
      </w:r>
    </w:p>
    <w:p w:rsidR="008B0DE0" w:rsidRPr="00977B51" w:rsidRDefault="00704D98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</w:t>
      </w:r>
      <w:r w:rsidR="008B0DE0" w:rsidRPr="00977B51">
        <w:rPr>
          <w:rFonts w:ascii="Arial" w:hAnsi="Arial" w:cs="Arial"/>
        </w:rPr>
        <w:t xml:space="preserve"> 3 </w:t>
      </w:r>
      <w:r w:rsidR="006425B9">
        <w:rPr>
          <w:rFonts w:ascii="Arial" w:hAnsi="Arial" w:cs="Arial"/>
        </w:rPr>
        <w:t>слова «</w:t>
      </w:r>
      <w:r w:rsidR="006425B9" w:rsidRPr="006425B9">
        <w:rPr>
          <w:rFonts w:ascii="Arial" w:hAnsi="Arial" w:cs="Arial"/>
        </w:rPr>
        <w:t xml:space="preserve">Депутат Совета </w:t>
      </w:r>
      <w:proofErr w:type="spellStart"/>
      <w:r w:rsidR="00C01738">
        <w:rPr>
          <w:rFonts w:ascii="Arial" w:hAnsi="Arial" w:cs="Arial"/>
        </w:rPr>
        <w:t>Бюрганского</w:t>
      </w:r>
      <w:proofErr w:type="spellEnd"/>
      <w:r w:rsidR="006425B9" w:rsidRPr="006425B9">
        <w:rPr>
          <w:rFonts w:ascii="Arial" w:hAnsi="Arial" w:cs="Arial"/>
        </w:rPr>
        <w:t xml:space="preserve"> сельского поселения Буинского муниципального района РТ, осуществляющий свои полномочия на непостоянной основе</w:t>
      </w:r>
      <w:r w:rsidR="006425B9">
        <w:rPr>
          <w:rFonts w:ascii="Arial" w:hAnsi="Arial" w:cs="Arial"/>
        </w:rPr>
        <w:t>» исключить, дополнить словами «</w:t>
      </w:r>
      <w:r w:rsidR="006425B9" w:rsidRPr="006425B9">
        <w:rPr>
          <w:rFonts w:ascii="Arial" w:hAnsi="Arial" w:cs="Arial"/>
        </w:rPr>
        <w:t>Если иное не установлено федеральным законом, гра</w:t>
      </w:r>
      <w:r w:rsidR="006425B9" w:rsidRPr="006425B9">
        <w:rPr>
          <w:rFonts w:ascii="Arial" w:hAnsi="Arial" w:cs="Arial"/>
        </w:rPr>
        <w:t>ж</w:t>
      </w:r>
      <w:r w:rsidR="006425B9" w:rsidRPr="006425B9">
        <w:rPr>
          <w:rFonts w:ascii="Arial" w:hAnsi="Arial" w:cs="Arial"/>
        </w:rPr>
        <w:t>дане, претендующие на замещение муниципальной должности, и лица, замещающие м</w:t>
      </w:r>
      <w:r w:rsidR="006425B9" w:rsidRPr="006425B9">
        <w:rPr>
          <w:rFonts w:ascii="Arial" w:hAnsi="Arial" w:cs="Arial"/>
        </w:rPr>
        <w:t>у</w:t>
      </w:r>
      <w:r w:rsidR="006425B9" w:rsidRPr="006425B9">
        <w:rPr>
          <w:rFonts w:ascii="Arial" w:hAnsi="Arial" w:cs="Arial"/>
        </w:rPr>
        <w:t>ниципал</w:t>
      </w:r>
      <w:r w:rsidR="006425B9" w:rsidRPr="006425B9">
        <w:rPr>
          <w:rFonts w:ascii="Arial" w:hAnsi="Arial" w:cs="Arial"/>
        </w:rPr>
        <w:t>ь</w:t>
      </w:r>
      <w:r w:rsidR="006425B9" w:rsidRPr="006425B9">
        <w:rPr>
          <w:rFonts w:ascii="Arial" w:hAnsi="Arial" w:cs="Arial"/>
        </w:rPr>
        <w:t>ные должности</w:t>
      </w:r>
      <w:r w:rsidR="006425B9">
        <w:rPr>
          <w:rFonts w:ascii="Arial" w:hAnsi="Arial" w:cs="Arial"/>
        </w:rPr>
        <w:t>»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2. Настоящее Решение вступает в законную силу с момента официального опубл</w:t>
      </w:r>
      <w:r w:rsidRPr="00977B51">
        <w:rPr>
          <w:rFonts w:ascii="Arial" w:hAnsi="Arial" w:cs="Arial"/>
        </w:rPr>
        <w:t>и</w:t>
      </w:r>
      <w:r w:rsidRPr="00977B51">
        <w:rPr>
          <w:rFonts w:ascii="Arial" w:hAnsi="Arial" w:cs="Arial"/>
        </w:rPr>
        <w:t>кования и подлежит размещению на Официальном портале правовой информации Ре</w:t>
      </w:r>
      <w:r w:rsidRPr="00977B51">
        <w:rPr>
          <w:rFonts w:ascii="Arial" w:hAnsi="Arial" w:cs="Arial"/>
        </w:rPr>
        <w:t>с</w:t>
      </w:r>
      <w:r w:rsidRPr="00977B51">
        <w:rPr>
          <w:rFonts w:ascii="Arial" w:hAnsi="Arial" w:cs="Arial"/>
        </w:rPr>
        <w:t>публики Татарстан (http://pravo.tat</w:t>
      </w:r>
      <w:r w:rsidRPr="00977B51">
        <w:rPr>
          <w:rFonts w:ascii="Arial" w:hAnsi="Arial" w:cs="Arial"/>
          <w:lang w:val="en-US"/>
        </w:rPr>
        <w:t>a</w:t>
      </w:r>
      <w:r w:rsidRPr="00977B51">
        <w:rPr>
          <w:rFonts w:ascii="Arial" w:hAnsi="Arial" w:cs="Arial"/>
        </w:rPr>
        <w:t>rstan.ru), а также на Портале муниципальных образ</w:t>
      </w:r>
      <w:r w:rsidRPr="00977B51">
        <w:rPr>
          <w:rFonts w:ascii="Arial" w:hAnsi="Arial" w:cs="Arial"/>
        </w:rPr>
        <w:t>о</w:t>
      </w:r>
      <w:r w:rsidRPr="00977B51">
        <w:rPr>
          <w:rFonts w:ascii="Arial" w:hAnsi="Arial" w:cs="Arial"/>
        </w:rPr>
        <w:t xml:space="preserve">ваний Республики Татарстан в информационно-телекоммуникационной сети Интернет (http://buinsk.tatarstan.ru). 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3. </w:t>
      </w:r>
      <w:proofErr w:type="gramStart"/>
      <w:r w:rsidRPr="00977B51">
        <w:rPr>
          <w:rFonts w:ascii="Arial" w:hAnsi="Arial" w:cs="Arial"/>
        </w:rPr>
        <w:t>Контроль за</w:t>
      </w:r>
      <w:proofErr w:type="gramEnd"/>
      <w:r w:rsidRPr="00977B51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 w:rsidR="00C01738">
        <w:rPr>
          <w:rFonts w:eastAsia="Calibri"/>
          <w:sz w:val="24"/>
          <w:szCs w:val="24"/>
          <w:lang w:eastAsia="en-US"/>
        </w:rPr>
        <w:t>Бюрганского</w:t>
      </w:r>
      <w:proofErr w:type="spellEnd"/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>Буинского муниципального района РТ</w:t>
      </w:r>
      <w:proofErr w:type="gramStart"/>
      <w:r w:rsidRPr="00977B51">
        <w:rPr>
          <w:rFonts w:eastAsia="Calibri"/>
          <w:sz w:val="24"/>
          <w:szCs w:val="24"/>
          <w:lang w:eastAsia="en-US"/>
        </w:rPr>
        <w:t xml:space="preserve">       </w:t>
      </w:r>
      <w:r w:rsidR="00C01738">
        <w:rPr>
          <w:rFonts w:eastAsia="Calibri"/>
          <w:sz w:val="24"/>
          <w:szCs w:val="24"/>
          <w:lang w:eastAsia="en-US"/>
        </w:rPr>
        <w:t>:</w:t>
      </w:r>
      <w:proofErr w:type="gramEnd"/>
      <w:r w:rsidR="00C01738">
        <w:rPr>
          <w:rFonts w:eastAsia="Calibri"/>
          <w:sz w:val="24"/>
          <w:szCs w:val="24"/>
          <w:lang w:eastAsia="en-US"/>
        </w:rPr>
        <w:tab/>
      </w:r>
      <w:r w:rsidR="00C01738">
        <w:rPr>
          <w:rFonts w:eastAsia="Calibri"/>
          <w:sz w:val="24"/>
          <w:szCs w:val="24"/>
          <w:lang w:eastAsia="en-US"/>
        </w:rPr>
        <w:tab/>
      </w:r>
      <w:r w:rsidR="00C01738">
        <w:rPr>
          <w:rFonts w:eastAsia="Calibri"/>
          <w:sz w:val="24"/>
          <w:szCs w:val="24"/>
          <w:lang w:eastAsia="en-US"/>
        </w:rPr>
        <w:tab/>
      </w:r>
      <w:r w:rsidR="00C01738">
        <w:rPr>
          <w:rFonts w:eastAsia="Calibri"/>
          <w:sz w:val="24"/>
          <w:szCs w:val="24"/>
          <w:lang w:eastAsia="en-US"/>
        </w:rPr>
        <w:tab/>
      </w:r>
      <w:r w:rsidR="00C01738">
        <w:rPr>
          <w:rFonts w:eastAsia="Calibri"/>
          <w:sz w:val="24"/>
          <w:szCs w:val="24"/>
          <w:lang w:eastAsia="en-US"/>
        </w:rPr>
        <w:tab/>
      </w:r>
      <w:proofErr w:type="spellStart"/>
      <w:r w:rsidR="00C01738">
        <w:rPr>
          <w:rFonts w:eastAsia="Calibri"/>
          <w:sz w:val="24"/>
          <w:szCs w:val="24"/>
          <w:lang w:eastAsia="en-US"/>
        </w:rPr>
        <w:t>И.В.Малышева</w:t>
      </w:r>
      <w:proofErr w:type="spellEnd"/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C6" w:rsidRDefault="00900BC6">
      <w:r>
        <w:separator/>
      </w:r>
    </w:p>
  </w:endnote>
  <w:endnote w:type="continuationSeparator" w:id="0">
    <w:p w:rsidR="00900BC6" w:rsidRDefault="0090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C6" w:rsidRDefault="00900BC6">
      <w:r>
        <w:separator/>
      </w:r>
    </w:p>
  </w:footnote>
  <w:footnote w:type="continuationSeparator" w:id="0">
    <w:p w:rsidR="00900BC6" w:rsidRDefault="0090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4FF6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0BC6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1738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4152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A72E-2A7D-49E6-87A2-EDC1DD6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Hewlett-Packard Company</cp:lastModifiedBy>
  <cp:revision>3</cp:revision>
  <cp:lastPrinted>2025-05-07T12:27:00Z</cp:lastPrinted>
  <dcterms:created xsi:type="dcterms:W3CDTF">2025-06-03T07:47:00Z</dcterms:created>
  <dcterms:modified xsi:type="dcterms:W3CDTF">2025-06-03T12:37:00Z</dcterms:modified>
</cp:coreProperties>
</file>