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margin" w:tblpY="-660" w:leftFromText="180" w:topFromText="0" w:rightFromText="180" w:bottomFromText="0"/>
        <w:tblW w:w="9895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178"/>
        <w:gridCol w:w="1608"/>
        <w:gridCol w:w="4109"/>
      </w:tblGrid>
      <w:tr>
        <w:tblPrEx/>
        <w:trPr>
          <w:trHeight w:val="17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7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framePr w:hSpace="180" w:wrap="around" w:vAnchor="margin" w:hAnchor="margin" w:y="-660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0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framePr w:hSpace="180" w:wrap="around" w:vAnchor="margin" w:hAnchor="margin" w:y="-660"/>
            </w:pPr>
            <w:r/>
            <w:r/>
          </w:p>
          <w:p>
            <w:pPr>
              <w:pStyle w:val="869"/>
              <w:ind w:firstLine="0"/>
              <w:framePr w:hSpace="180" w:wrap="around" w:vAnchor="margin" w:hAnchor="margin" w:y="-660"/>
            </w:pPr>
            <w:r/>
            <w:r/>
          </w:p>
          <w:p>
            <w:pPr>
              <w:pStyle w:val="869"/>
              <w:ind w:firstLine="0"/>
              <w:framePr w:hSpace="180" w:wrap="around" w:vAnchor="margin" w:hAnchor="margin" w:y="-660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09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sz w:val="28"/>
                <w:szCs w:val="28"/>
              </w:rPr>
              <w:framePr w:hSpace="180" w:wrap="around" w:vAnchor="margin" w:hAnchor="margin" w:y="-66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7"/>
        <w:ind w:right="0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970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23"/>
        <w:gridCol w:w="1286"/>
        <w:gridCol w:w="4096"/>
      </w:tblGrid>
      <w:tr>
        <w:tblPrEx/>
        <w:trPr>
          <w:trHeight w:val="1560"/>
        </w:trPr>
        <w:tc>
          <w:tcPr>
            <w:tcBorders>
              <w:bottom w:val="single" w:color="000000" w:sz="4" w:space="0"/>
            </w:tcBorders>
            <w:tcW w:w="4323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keepNext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РЕСПУБЛИКА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keepNext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БУИНСКИЙ  МУНИЦИПАЛЬНЫЙ 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keepNext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НУРЛАТСКОГО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keepNext/>
              <w:spacing w:line="300" w:lineRule="exact"/>
              <w:widowControl/>
              <w:rPr>
                <w:rFonts w:ascii="Times New Roman" w:hAnsi="Times New Roman" w:cs="Times New Roman"/>
                <w:b/>
                <w:color w:val="0000ff"/>
                <w:sz w:val="28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8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widowControl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036" cy="90286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036" cy="902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3pt;height:71.09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409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left"/>
              <w:keepNext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БУА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spacing w:line="300" w:lineRule="exact"/>
              <w:widowControl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НОРЛАТ АВЫЛ ЖИРЛЕГЕ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r>
          </w:p>
          <w:p>
            <w:pPr>
              <w:pStyle w:val="869"/>
              <w:ind w:firstLine="0"/>
              <w:jc w:val="center"/>
              <w:spacing w:line="300" w:lineRule="exact"/>
              <w:widowControl/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СОВЕТЫ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20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20"/>
              </w:rPr>
            </w:r>
          </w:p>
        </w:tc>
      </w:tr>
    </w:tbl>
    <w:p>
      <w:pPr>
        <w:pStyle w:val="869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9"/>
        <w:ind w:firstLine="0"/>
        <w:jc w:val="lef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КАРАР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9"/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9"/>
        <w:ind w:firstLine="0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15  декабря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  </w:t>
        <w:tab/>
        <w:tab/>
        <w:tab/>
        <w:tab/>
        <w:t xml:space="preserve">      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1-5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87"/>
        <w:ind w:right="0"/>
        <w:jc w:val="center"/>
        <w:widowControl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с. Нурлат</w:t>
      </w:r>
      <w:r>
        <w:rPr>
          <w:rFonts w:ascii="Times New Roman" w:hAnsi="Times New Roman" w:cs="Times New Roman"/>
          <w:b w:val="0"/>
          <w:sz w:val="18"/>
          <w:szCs w:val="18"/>
        </w:rPr>
      </w:r>
      <w:r>
        <w:rPr>
          <w:rFonts w:ascii="Times New Roman" w:hAnsi="Times New Roman" w:cs="Times New Roman"/>
          <w:b w:val="0"/>
          <w:sz w:val="18"/>
          <w:szCs w:val="1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Нурлат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Бюджетным кодексом Ре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Татарстан, Федера</w:t>
      </w:r>
      <w:r>
        <w:rPr>
          <w:rFonts w:ascii="Times New Roman" w:hAnsi="Times New Roman" w:cs="Times New Roman"/>
          <w:sz w:val="28"/>
          <w:szCs w:val="28"/>
        </w:rPr>
        <w:t xml:space="preserve">льным законом от 20 марта 2025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№33-ФЗ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единой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 и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Нурлат</w:t>
      </w:r>
      <w:r>
        <w:rPr>
          <w:rFonts w:ascii="Times New Roman" w:hAnsi="Times New Roman" w:cs="Times New Roman"/>
          <w:sz w:val="28"/>
          <w:szCs w:val="28"/>
        </w:rPr>
        <w:t xml:space="preserve">ское сельское поселение Буинского муниципального района Республики Татарстан Совет </w:t>
      </w:r>
      <w:r>
        <w:rPr>
          <w:rFonts w:ascii="Times New Roman" w:hAnsi="Times New Roman" w:cs="Times New Roman"/>
          <w:sz w:val="28"/>
          <w:szCs w:val="28"/>
        </w:rPr>
        <w:t xml:space="preserve">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ления Буинского муниципального района 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ШИЛ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 бюджет Нурлатского сельского поселения: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1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/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Утвердить о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6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3 704,77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сумме 3 704,77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0"/>
      <w:r/>
      <w:bookmarkStart w:id="1" w:name="sub_200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/>
      <w:bookmarkEnd w:id="1"/>
      <w:r/>
      <w:bookmarkStart w:id="2" w:name="sub_103"/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сумме 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плановый период 20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7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8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годов: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1) прогнозируемый общий объем доходов бю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джета на 20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7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 в сумме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3 805,73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 xml:space="preserve">рублей 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3 945,77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 xml:space="preserve">3 805,73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</w:t>
      </w:r>
      <w:r>
        <w:rPr>
          <w:rFonts w:ascii="Times New Roman" w:hAnsi="Times New Roman" w:cs="Times New Roman"/>
          <w:sz w:val="28"/>
          <w:szCs w:val="28"/>
        </w:rPr>
        <w:t xml:space="preserve">вно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89,00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3 945,77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ыс. рублей, в том числе условно </w:t>
      </w:r>
      <w:r>
        <w:rPr>
          <w:rFonts w:ascii="Times New Roman" w:hAnsi="Times New Roman" w:cs="Times New Roman"/>
          <w:sz w:val="28"/>
          <w:szCs w:val="28"/>
        </w:rPr>
        <w:t xml:space="preserve">ут</w:t>
      </w:r>
      <w:r>
        <w:rPr>
          <w:rFonts w:ascii="Times New Roman" w:hAnsi="Times New Roman" w:cs="Times New Roman"/>
          <w:sz w:val="28"/>
          <w:szCs w:val="28"/>
        </w:rPr>
        <w:t xml:space="preserve">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81,53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Утверд</w:t>
      </w:r>
      <w:r>
        <w:rPr>
          <w:rFonts w:ascii="Times New Roman" w:hAnsi="Times New Roman" w:cs="Times New Roman"/>
          <w:sz w:val="28"/>
          <w:szCs w:val="28"/>
        </w:rPr>
        <w:t xml:space="preserve">ить 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/>
      <w:bookmarkEnd w:id="2"/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долга 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в сумме 0,00 рублей, в том числе верхний предел муниципального внутренн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долга 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гарантиям Нурлатского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валюте Российской Федерации с нулевым значением.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долга 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в сумме 0,00 рублей, в том числе верхний предел муниципального внутренн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долга 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муниципальным гарантиям Нурлатского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валюте Российской Федерации с нулевым </w:t>
      </w:r>
      <w:r>
        <w:rPr>
          <w:rFonts w:ascii="Times New Roman" w:hAnsi="Times New Roman" w:cs="Times New Roman"/>
          <w:sz w:val="28"/>
          <w:szCs w:val="28"/>
        </w:rPr>
        <w:t xml:space="preserve">значением.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долга 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в сумме 0,00 рублей, в том числе верхний предел муниципального внутренн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долга Нурлатского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гарантиям Нурлатского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валюте Российской Федерации с нулевым значением.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Учесть</w:t>
      </w:r>
      <w:r>
        <w:rPr>
          <w:rFonts w:ascii="Times New Roman" w:hAnsi="Times New Roman" w:cs="Times New Roman"/>
          <w:sz w:val="28"/>
          <w:szCs w:val="28"/>
        </w:rPr>
        <w:t xml:space="preserve"> в бюджете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прогн</w:t>
      </w:r>
      <w:r>
        <w:rPr>
          <w:rFonts w:ascii="Times New Roman" w:hAnsi="Times New Roman" w:cs="Times New Roman"/>
          <w:sz w:val="28"/>
          <w:szCs w:val="28"/>
        </w:rPr>
        <w:t xml:space="preserve">озируемые объемы доходов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год и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/>
      <w:bookmarkStart w:id="3" w:name="sub_9"/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4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Нурлатского сельского поселения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на плановый период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7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8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к наст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ящему Решению.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распределение бюджетных ассигнований по разделам, подразделам, целевым статьям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сельского поселения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Буинского муниципального района Республики Татарстан и непрограммным направлениям деятельности) группам видов расходов классификации расходов бюджета на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6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год и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плановый период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7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8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 согласно приложению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4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Решению.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 Утвердить общий объем бюджетных ассигнований на исполнение публичных нормативных обязательств на 20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6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год в сумме 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рублей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на плановый период 20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7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202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8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годов в сумме 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рублей.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ind w:firstLine="0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/>
      <w:bookmarkEnd w:id="3"/>
      <w:r/>
      <w:bookmarkStart w:id="4" w:name="sub_13"/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твердить</w:t>
      </w:r>
      <w:r>
        <w:rPr>
          <w:rFonts w:ascii="Times New Roman" w:hAnsi="Times New Roman" w:cs="Times New Roman"/>
          <w:sz w:val="28"/>
          <w:szCs w:val="28"/>
        </w:rPr>
        <w:t xml:space="preserve"> в бюджете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дотации на выравнивание бюджетной обеспеченности поселе</w:t>
      </w:r>
      <w:r>
        <w:rPr>
          <w:rFonts w:ascii="Times New Roman" w:hAnsi="Times New Roman" w:cs="Times New Roman"/>
          <w:sz w:val="28"/>
          <w:szCs w:val="28"/>
        </w:rPr>
        <w:t xml:space="preserve">ний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 xml:space="preserve">2 763,10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>
        <w:rPr>
          <w:rFonts w:ascii="Times New Roman" w:hAnsi="Times New Roman" w:cs="Times New Roman"/>
          <w:sz w:val="28"/>
          <w:szCs w:val="28"/>
        </w:rPr>
        <w:t xml:space="preserve">2 815,10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>
        <w:rPr>
          <w:rFonts w:ascii="Times New Roman" w:hAnsi="Times New Roman" w:cs="Times New Roman"/>
          <w:sz w:val="28"/>
          <w:szCs w:val="28"/>
        </w:rPr>
        <w:t xml:space="preserve">2 865,10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ind w:firstLine="709"/>
        <w:rPr>
          <w:rStyle w:val="876"/>
          <w:b w:val="0"/>
          <w:bCs w:val="0"/>
          <w:color w:val="000000"/>
          <w:sz w:val="28"/>
          <w:szCs w:val="28"/>
        </w:rPr>
      </w:pPr>
      <w:r/>
      <w:bookmarkEnd w:id="4"/>
      <w:r/>
      <w:bookmarkStart w:id="5" w:name="sub_10000000"/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6</w:t>
      </w:r>
      <w:r>
        <w:rPr>
          <w:rStyle w:val="876"/>
          <w:b w:val="0"/>
          <w:bCs w:val="0"/>
          <w:color w:val="000000"/>
          <w:sz w:val="28"/>
          <w:szCs w:val="28"/>
        </w:rPr>
      </w:r>
      <w:r>
        <w:rPr>
          <w:rStyle w:val="876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 бюджете Нурлатского сельского поселения Буинского муниципального района Республики Татарстан объем субвенций получаемые из бюджета Буинского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  <w:r>
        <w:rPr>
          <w:rStyle w:val="876"/>
          <w:rFonts w:ascii="Times New Roman" w:hAnsi="Times New Roman" w:cs="Times New Roman"/>
          <w:b w:val="0"/>
          <w:bCs w:val="0"/>
          <w:highlight w:val="yellow"/>
        </w:rPr>
      </w:r>
      <w:r>
        <w:rPr>
          <w:rStyle w:val="876"/>
          <w:rFonts w:ascii="Times New Roman" w:hAnsi="Times New Roman" w:cs="Times New Roman"/>
          <w:b w:val="0"/>
          <w:bCs w:val="0"/>
          <w:highlight w:val="yellow"/>
        </w:rPr>
      </w:r>
    </w:p>
    <w:p>
      <w:pPr>
        <w:pStyle w:val="869"/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2026 год – в сумме 221,27 тыс. рублей;</w:t>
      </w:r>
      <w:r>
        <w:rPr>
          <w:color w:val="000000"/>
        </w:rPr>
      </w:r>
      <w:r>
        <w:rPr>
          <w:color w:val="000000"/>
        </w:rPr>
      </w:r>
    </w:p>
    <w:p>
      <w:pPr>
        <w:pStyle w:val="869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2027 год – в сумме 247,23 тыс. рублей;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2028 год – в сумме 315,27 тыс.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не вправе принимать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приводящие к увеличению численности муниципальных служащих и работников учреждений и иных организаций бюджетной сферы,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принятия таких решений в связи наделением органов местного самоуправления Нурлатского сельского поселения Буинского муниципального района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казенных учреждений Нурлатского сельского поселения Буинского муниципального района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/>
      <w:r/>
    </w:p>
    <w:p>
      <w:pPr>
        <w:pStyle w:val="869"/>
        <w:ind w:firstLine="0"/>
      </w:pPr>
      <w:r/>
      <w:r/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на поставку товаров, выполнение 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бот, оказание услуг, подлежащих в соответствии с условиями этих муниципальных контрактов о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</w:t>
      </w:r>
      <w:r>
        <w:rPr>
          <w:rFonts w:ascii="Times New Roman" w:hAnsi="Times New Roman" w:cs="Times New Roman"/>
          <w:sz w:val="28"/>
          <w:szCs w:val="28"/>
        </w:rPr>
        <w:t xml:space="preserve">те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году на увеличение  соответствующих бюджетных ассигн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ваний на указанные цели в случае принятия </w:t>
      </w:r>
      <w:r>
        <w:rPr>
          <w:rStyle w:val="876"/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исполнительным комитетом</w:t>
      </w:r>
      <w:r>
        <w:rPr>
          <w:rStyle w:val="87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ответствующего решения.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казначейства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Буинского района ос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ществляют отдельные функции по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 в соответствии с закл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ченными соглашениями.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</w:pPr>
      <w:r/>
      <w:r/>
    </w:p>
    <w:p>
      <w:pPr>
        <w:pStyle w:val="869"/>
      </w:pPr>
      <w:r/>
      <w:r/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Статья 10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Разместить настоящее решение на официально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сельского поселения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Бу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инского муниципального района Республики Татарстан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информационно-телекоммуникационной сети «Интернет», официальном портале правовой информации Р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еспублики Татарстан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http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://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pravo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tatarstat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ru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Нурлатского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М.Х. Закиров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0"/>
          <w:lang w:val="tt-RU"/>
        </w:rPr>
      </w:pPr>
      <w:r>
        <w:rPr>
          <w:rFonts w:ascii="Times New Roman" w:hAnsi="Times New Roman" w:cs="Times New Roman"/>
          <w:sz w:val="20"/>
          <w:lang w:val="tt-RU"/>
        </w:rPr>
      </w:r>
      <w:r>
        <w:rPr>
          <w:rFonts w:ascii="Times New Roman" w:hAnsi="Times New Roman" w:cs="Times New Roman"/>
          <w:sz w:val="20"/>
          <w:lang w:val="tt-RU"/>
        </w:rPr>
      </w:r>
      <w:r>
        <w:rPr>
          <w:rFonts w:ascii="Times New Roman" w:hAnsi="Times New Roman" w:cs="Times New Roman"/>
          <w:sz w:val="20"/>
          <w:lang w:val="tt-RU"/>
        </w:rPr>
      </w:r>
    </w:p>
    <w:p>
      <w:pPr>
        <w:pStyle w:val="869"/>
        <w:jc w:val="right"/>
        <w:tabs>
          <w:tab w:val="left" w:pos="7545" w:leader="none"/>
          <w:tab w:val="right" w:pos="9638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Приложение 1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lang w:val="tt-RU"/>
        </w:rPr>
        <w:t xml:space="preserve">         </w:t>
      </w:r>
      <w:r>
        <w:rPr>
          <w:rFonts w:ascii="Times New Roman" w:hAnsi="Times New Roman" w:cs="Times New Roman"/>
          <w:sz w:val="20"/>
          <w:lang w:val="tt-RU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к решению </w:t>
      </w:r>
      <w:r>
        <w:rPr>
          <w:rFonts w:ascii="Times New Roman" w:hAnsi="Times New Roman" w:cs="Times New Roman"/>
          <w:sz w:val="20"/>
        </w:rPr>
        <w:t xml:space="preserve">Совета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сельског</w:t>
      </w:r>
      <w:r>
        <w:rPr>
          <w:rFonts w:ascii="Times New Roman" w:hAnsi="Times New Roman" w:cs="Times New Roman"/>
          <w:sz w:val="20"/>
        </w:rPr>
        <w:t xml:space="preserve">о </w:t>
      </w:r>
      <w:r>
        <w:rPr>
          <w:rFonts w:ascii="Times New Roman" w:hAnsi="Times New Roman" w:cs="Times New Roman"/>
          <w:sz w:val="20"/>
        </w:rPr>
        <w:t xml:space="preserve">поселения</w:t>
      </w:r>
      <w:r>
        <w:rPr>
          <w:rFonts w:ascii="Times New Roman" w:hAnsi="Times New Roman" w:cs="Times New Roman"/>
          <w:sz w:val="20"/>
        </w:rPr>
        <w:t xml:space="preserve"> 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lang w:val="tt-RU"/>
        </w:rPr>
        <w:t xml:space="preserve">                      </w:t>
      </w:r>
      <w:r>
        <w:rPr>
          <w:rFonts w:ascii="Times New Roman" w:hAnsi="Times New Roman" w:cs="Times New Roman"/>
          <w:sz w:val="20"/>
        </w:rPr>
        <w:t xml:space="preserve">«О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бюджет</w:t>
      </w:r>
      <w:r>
        <w:rPr>
          <w:rFonts w:ascii="Times New Roman" w:hAnsi="Times New Roman" w:cs="Times New Roman"/>
          <w:sz w:val="20"/>
        </w:rPr>
        <w:t xml:space="preserve">е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сельского поселения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tt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 xml:space="preserve">20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год и на плановый период 20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>
        <w:rPr>
          <w:rFonts w:ascii="Times New Roman" w:hAnsi="Times New Roman" w:cs="Times New Roman"/>
          <w:sz w:val="20"/>
          <w:szCs w:val="20"/>
        </w:rPr>
        <w:t xml:space="preserve">8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sz w:val="20"/>
        </w:rPr>
      </w:pPr>
      <w:r>
        <w:rPr>
          <w:sz w:val="20"/>
        </w:rPr>
        <w:tab/>
        <w:tab/>
        <w:tab/>
        <w:tab/>
        <w:tab/>
        <w:tab/>
        <w:t xml:space="preserve">            </w:t>
      </w:r>
      <w:r>
        <w:rPr>
          <w:sz w:val="20"/>
        </w:rPr>
      </w:r>
      <w:r>
        <w:rPr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48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8"/>
        <w:gridCol w:w="4518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8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финансирования дефицитов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тах по учету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01 05 02 01 10 0000 510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8" w:type="dxa"/>
            <w:vAlign w:val="top"/>
            <w:textDirection w:val="lrTb"/>
            <w:noWrap w:val="false"/>
          </w:tcPr>
          <w:p>
            <w:pPr>
              <w:pStyle w:val="88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left="-720"/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плановый</w:t>
      </w:r>
      <w:r>
        <w:rPr>
          <w:rFonts w:ascii="Times New Roman" w:hAnsi="Times New Roman" w:cs="Times New Roman"/>
          <w:sz w:val="28"/>
          <w:szCs w:val="28"/>
        </w:rPr>
        <w:t xml:space="preserve"> период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82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18"/>
        <w:gridCol w:w="3919"/>
        <w:gridCol w:w="1647"/>
        <w:gridCol w:w="1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9" w:type="dxa"/>
            <w:vAlign w:val="top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тах по учету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01 05 02 01 10 0000 510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9" w:type="dxa"/>
            <w:vAlign w:val="top"/>
            <w:textDirection w:val="lrTb"/>
            <w:noWrap w:val="false"/>
          </w:tcPr>
          <w:p>
            <w:pPr>
              <w:pStyle w:val="88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3 805,73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3 945,77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3 805,73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3 945,77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jc w:val="lef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6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6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6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69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6300"/>
        <w:jc w:val="right"/>
        <w:rPr>
          <w:rFonts w:ascii="Times New Roman" w:hAnsi="Times New Roman"/>
          <w:b w:val="0"/>
          <w:bCs w:val="0"/>
          <w:sz w:val="20"/>
          <w:szCs w:val="20"/>
          <w:lang w:val="tt-RU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Приложение 2</w:t>
      </w:r>
      <w:r>
        <w:rPr>
          <w:rFonts w:ascii="Times New Roman" w:hAnsi="Times New Roman"/>
          <w:b w:val="0"/>
          <w:bCs w:val="0"/>
          <w:sz w:val="20"/>
          <w:szCs w:val="20"/>
          <w:lang w:val="tt-RU"/>
        </w:rPr>
      </w:r>
      <w:r>
        <w:rPr>
          <w:rFonts w:ascii="Times New Roman" w:hAnsi="Times New Roman"/>
          <w:b w:val="0"/>
          <w:bCs w:val="0"/>
          <w:sz w:val="20"/>
          <w:szCs w:val="20"/>
          <w:lang w:val="tt-RU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решению </w:t>
      </w:r>
      <w:r>
        <w:rPr>
          <w:rFonts w:ascii="Times New Roman" w:hAnsi="Times New Roman" w:cs="Times New Roman"/>
          <w:sz w:val="20"/>
        </w:rPr>
        <w:t xml:space="preserve">Совета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lang w:val="tt-RU"/>
        </w:rPr>
        <w:t xml:space="preserve">                      </w:t>
      </w:r>
      <w:r>
        <w:rPr>
          <w:rFonts w:ascii="Times New Roman" w:hAnsi="Times New Roman" w:cs="Times New Roman"/>
          <w:sz w:val="20"/>
        </w:rPr>
        <w:t xml:space="preserve">«О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бюджет</w:t>
      </w:r>
      <w:r>
        <w:rPr>
          <w:rFonts w:ascii="Times New Roman" w:hAnsi="Times New Roman" w:cs="Times New Roman"/>
          <w:sz w:val="20"/>
        </w:rPr>
        <w:t xml:space="preserve">е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сельского поселения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tt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 xml:space="preserve">202</w:t>
      </w:r>
      <w:r>
        <w:rPr>
          <w:rFonts w:ascii="Times New Roman" w:hAnsi="Times New Roman" w:cs="Times New Roman"/>
          <w:sz w:val="20"/>
          <w:szCs w:val="20"/>
        </w:rPr>
        <w:t xml:space="preserve">6 </w:t>
      </w:r>
      <w:r>
        <w:rPr>
          <w:rFonts w:ascii="Times New Roman" w:hAnsi="Times New Roman" w:cs="Times New Roman"/>
          <w:sz w:val="20"/>
          <w:szCs w:val="20"/>
        </w:rPr>
        <w:t xml:space="preserve">год и на плановый период 202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>
        <w:rPr>
          <w:rFonts w:ascii="Times New Roman" w:hAnsi="Times New Roman" w:cs="Times New Roman"/>
          <w:sz w:val="20"/>
          <w:szCs w:val="20"/>
        </w:rPr>
        <w:t xml:space="preserve">8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ind w:firstLine="0"/>
        <w:jc w:val="right"/>
      </w:pPr>
      <w:r/>
      <w:r/>
    </w:p>
    <w:p>
      <w:pPr>
        <w:pStyle w:val="869"/>
        <w:ind w:firstLine="0"/>
        <w:jc w:val="right"/>
      </w:pPr>
      <w:r>
        <w:t xml:space="preserve">                                                                                 </w:t>
      </w:r>
      <w:r/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</w:rPr>
        <w:t xml:space="preserve">Таблица 1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69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</w:r>
      <w:r>
        <w:rPr>
          <w:rFonts w:ascii="Times New Roman" w:hAnsi="Times New Roman" w:cs="Times New Roman"/>
          <w:lang w:val="tt-RU"/>
        </w:rPr>
      </w:r>
      <w:r>
        <w:rPr>
          <w:rFonts w:ascii="Times New Roman" w:hAnsi="Times New Roman" w:cs="Times New Roman"/>
          <w:lang w:val="tt-RU"/>
        </w:rPr>
      </w:r>
    </w:p>
    <w:p>
      <w:pPr>
        <w:pStyle w:val="869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</w:r>
      <w:r>
        <w:rPr>
          <w:rFonts w:ascii="Times New Roman" w:hAnsi="Times New Roman" w:cs="Times New Roman"/>
          <w:lang w:val="tt-RU"/>
        </w:rPr>
      </w:r>
      <w:r>
        <w:rPr>
          <w:rFonts w:ascii="Times New Roman" w:hAnsi="Times New Roman" w:cs="Times New Roman"/>
          <w:lang w:val="tt-RU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объёмы доходов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бюджета Нурлатского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</w:t>
      </w:r>
      <w:r>
        <w:rPr>
          <w:rFonts w:ascii="Times New Roman" w:hAnsi="Times New Roman" w:cs="Times New Roman"/>
          <w:lang w:val="tt-RU"/>
        </w:rPr>
        <w:t xml:space="preserve">    </w:t>
      </w:r>
      <w:r>
        <w:rPr>
          <w:rFonts w:ascii="Times New Roman" w:hAnsi="Times New Roman" w:cs="Times New Roman"/>
          <w:lang w:val="tt-RU"/>
        </w:rPr>
        <w:t xml:space="preserve">        </w:t>
      </w:r>
      <w:r>
        <w:rPr>
          <w:rFonts w:ascii="Times New Roman" w:hAnsi="Times New Roman" w:cs="Times New Roman"/>
        </w:rPr>
        <w:t xml:space="preserve">(тыс. рублей)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tbl>
      <w:tblPr>
        <w:tblW w:w="10550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28"/>
        <w:gridCol w:w="264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/>
        </w:trPr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left="-108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720,4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женным в границах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1 06 06033 10 0000 110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1 06 06043 10 0000 110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тариальных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1 08 04020 01 0000 110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2 984,37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2 984,37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2 02 16001 10 0000 150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2 763,10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628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ind w:firstLine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jc w:val="right"/>
        <w:rPr>
          <w:rFonts w:ascii="Times New Roman" w:hAnsi="Times New Roman"/>
          <w:b/>
          <w:sz w:val="24"/>
          <w:lang w:val="tt-RU"/>
        </w:rPr>
      </w:pPr>
      <w:r>
        <w:rPr>
          <w:rFonts w:ascii="Times New Roman" w:hAnsi="Times New Roman"/>
          <w:b/>
          <w:sz w:val="24"/>
          <w:lang w:val="tt-RU"/>
        </w:rPr>
        <w:t xml:space="preserve">                      </w:t>
      </w:r>
      <w:r>
        <w:rPr>
          <w:rFonts w:ascii="Times New Roman" w:hAnsi="Times New Roman"/>
          <w:b/>
          <w:sz w:val="24"/>
          <w:lang w:val="tt-RU"/>
        </w:rPr>
      </w:r>
      <w:r>
        <w:rPr>
          <w:rFonts w:ascii="Times New Roman" w:hAnsi="Times New Roman"/>
          <w:b/>
          <w:sz w:val="24"/>
          <w:lang w:val="tt-RU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4"/>
          <w:lang w:val="tt-RU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Таблица 2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объёмы доходов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бюджета Нурлатского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tt-RU"/>
        </w:rPr>
        <w:t xml:space="preserve">   </w:t>
      </w:r>
      <w:r>
        <w:rPr>
          <w:rFonts w:ascii="Times New Roman" w:hAnsi="Times New Roman" w:cs="Times New Roman"/>
          <w:lang w:val="tt-RU"/>
        </w:rPr>
        <w:t xml:space="preserve">  </w:t>
      </w:r>
      <w:r>
        <w:rPr>
          <w:rFonts w:ascii="Times New Roman" w:hAnsi="Times New Roman" w:cs="Times New Roman"/>
          <w:lang w:val="tt-RU"/>
        </w:rPr>
        <w:t xml:space="preserve">   </w:t>
      </w:r>
      <w:r>
        <w:rPr>
          <w:rFonts w:ascii="Times New Roman" w:hAnsi="Times New Roman" w:cs="Times New Roman"/>
          <w:lang w:val="tt-RU"/>
        </w:rPr>
        <w:t xml:space="preserve">   </w:t>
      </w:r>
      <w:r>
        <w:rPr>
          <w:rFonts w:ascii="Times New Roman" w:hAnsi="Times New Roman" w:cs="Times New Roman"/>
        </w:rPr>
        <w:t xml:space="preserve">(тыс. рублей)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tbl>
      <w:tblPr>
        <w:tblW w:w="1113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36"/>
        <w:gridCol w:w="2646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/>
        </w:trPr>
        <w:tc>
          <w:tcPr>
            <w:tcW w:w="5936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552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1"/>
        </w:trPr>
        <w:tc>
          <w:tcPr>
            <w:tcW w:w="5936" w:type="dxa"/>
            <w:vAlign w:val="center"/>
            <w:vMerge w:val="continue"/>
            <w:textDirection w:val="lrTb"/>
            <w:noWrap w:val="false"/>
          </w:tcPr>
          <w:p>
            <w:pPr>
              <w:pStyle w:val="8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vMerge w:val="continue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743,4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жения,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женным в границах сельских посе-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 участком, расположенным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1 06 06033 10 0000 110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участком, расположенным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1 06 06043 10 0000 110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тариальных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1 08 04020 01 0000 110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3 062,33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3 062,33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2 02 16001 10 0000 150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2 815,10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2 865,10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/>
        </w:trPr>
        <w:tc>
          <w:tcPr>
            <w:tcW w:w="593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3 805,73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3 945,77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ind w:firstLine="0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</w:r>
      <w:r>
        <w:rPr>
          <w:rFonts w:ascii="Times New Roman" w:hAnsi="Times New Roman" w:cs="Times New Roman"/>
          <w:sz w:val="20"/>
          <w:szCs w:val="20"/>
          <w:lang w:val="tt-RU"/>
        </w:rPr>
      </w:r>
      <w:r>
        <w:rPr>
          <w:rFonts w:ascii="Times New Roman" w:hAnsi="Times New Roman" w:cs="Times New Roman"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Cs/>
          <w:sz w:val="20"/>
          <w:szCs w:val="20"/>
          <w:lang w:val="tt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left="6300"/>
        <w:rPr>
          <w:rFonts w:ascii="Times New Roman" w:hAnsi="Times New Roman" w:cs="Times New Roman"/>
          <w:bCs/>
          <w:sz w:val="20"/>
          <w:szCs w:val="20"/>
          <w:lang w:val="tt-RU"/>
        </w:rPr>
      </w:pP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  <w:r>
        <w:rPr>
          <w:rFonts w:ascii="Times New Roman" w:hAnsi="Times New Roman" w:cs="Times New Roman"/>
          <w:bCs/>
          <w:sz w:val="20"/>
          <w:szCs w:val="20"/>
          <w:lang w:val="tt-RU"/>
        </w:rPr>
      </w:r>
    </w:p>
    <w:p>
      <w:pPr>
        <w:pStyle w:val="869"/>
        <w:ind w:firstLine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  <w:r>
        <w:rPr>
          <w:rFonts w:ascii="Times New Roman" w:hAnsi="Times New Roman" w:cs="Times New Roman"/>
        </w:rPr>
        <w:t xml:space="preserve">Приложение 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решению </w:t>
      </w:r>
      <w:r>
        <w:rPr>
          <w:rFonts w:ascii="Times New Roman" w:hAnsi="Times New Roman" w:cs="Times New Roman"/>
          <w:sz w:val="20"/>
        </w:rPr>
        <w:t xml:space="preserve">Совета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lang w:val="tt-RU"/>
        </w:rPr>
        <w:t xml:space="preserve">                      </w:t>
      </w:r>
      <w:r>
        <w:rPr>
          <w:rFonts w:ascii="Times New Roman" w:hAnsi="Times New Roman" w:cs="Times New Roman"/>
          <w:sz w:val="20"/>
        </w:rPr>
        <w:t xml:space="preserve">«О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бюджет</w:t>
      </w:r>
      <w:r>
        <w:rPr>
          <w:rFonts w:ascii="Times New Roman" w:hAnsi="Times New Roman" w:cs="Times New Roman"/>
          <w:sz w:val="20"/>
        </w:rPr>
        <w:t xml:space="preserve">е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сельского поселения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tt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 xml:space="preserve">202</w:t>
      </w:r>
      <w:r>
        <w:rPr>
          <w:rFonts w:ascii="Times New Roman" w:hAnsi="Times New Roman" w:cs="Times New Roman"/>
          <w:sz w:val="20"/>
          <w:szCs w:val="20"/>
        </w:rPr>
        <w:t xml:space="preserve">6 </w:t>
      </w:r>
      <w:r>
        <w:rPr>
          <w:rFonts w:ascii="Times New Roman" w:hAnsi="Times New Roman" w:cs="Times New Roman"/>
          <w:sz w:val="20"/>
          <w:szCs w:val="20"/>
        </w:rPr>
        <w:t xml:space="preserve">год и на плановый период 202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>
        <w:rPr>
          <w:rFonts w:ascii="Times New Roman" w:hAnsi="Times New Roman" w:cs="Times New Roman"/>
          <w:sz w:val="20"/>
          <w:szCs w:val="20"/>
        </w:rPr>
        <w:t xml:space="preserve">8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Таблица 1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</w:r>
      <w:r>
        <w:rPr>
          <w:rFonts w:ascii="Times New Roman" w:hAnsi="Times New Roman" w:cs="Times New Roman"/>
          <w:bCs/>
          <w:sz w:val="28"/>
          <w:szCs w:val="28"/>
          <w:lang w:val="tt-RU"/>
        </w:rPr>
      </w:r>
    </w:p>
    <w:p>
      <w:pPr>
        <w:pStyle w:val="869"/>
        <w:jc w:val="left"/>
        <w:tabs>
          <w:tab w:val="center" w:pos="5179" w:leader="none"/>
          <w:tab w:val="left" w:pos="8130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Нурлатского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  <w:tab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Буинского муниципального района Республики Татарстан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лей)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79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28"/>
        <w:gridCol w:w="919"/>
        <w:gridCol w:w="660"/>
        <w:gridCol w:w="660"/>
        <w:gridCol w:w="2240"/>
        <w:gridCol w:w="900"/>
        <w:gridCol w:w="1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Нурлатского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tabs>
                <w:tab w:val="left" w:pos="375" w:leader="none"/>
                <w:tab w:val="center" w:pos="6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right"/>
              <w:tabs>
                <w:tab w:val="left" w:pos="375" w:leader="none"/>
                <w:tab w:val="center" w:pos="6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РФ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высших органов исполнительной власти субъектов РФ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обилизационная  и вневойсковая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199,14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91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60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4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8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bCs/>
        </w:rPr>
        <w:t xml:space="preserve">Таблица 2</w:t>
      </w:r>
      <w:r>
        <w:rPr>
          <w:rFonts w:ascii="Times New Roman" w:hAnsi="Times New Roman" w:cs="Times New Roman"/>
          <w:lang w:val="tt-RU"/>
        </w:rPr>
      </w:r>
      <w:r>
        <w:rPr>
          <w:rFonts w:ascii="Times New Roman" w:hAnsi="Times New Roman" w:cs="Times New Roman"/>
          <w:lang w:val="tt-RU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</w:r>
      <w:r>
        <w:rPr>
          <w:rFonts w:ascii="Times New Roman" w:hAnsi="Times New Roman" w:cs="Times New Roman"/>
          <w:bCs/>
          <w:sz w:val="28"/>
          <w:szCs w:val="28"/>
          <w:lang w:val="tt-RU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Нурлатского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-202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86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 xml:space="preserve">тыс.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руб</w:t>
      </w:r>
      <w:r>
        <w:rPr>
          <w:rFonts w:ascii="Times New Roman" w:hAnsi="Times New Roman" w:cs="Times New Roman"/>
          <w:bCs/>
        </w:rPr>
        <w:t xml:space="preserve">лей</w:t>
      </w:r>
      <w:r>
        <w:rPr>
          <w:rFonts w:ascii="Times New Roman" w:hAnsi="Times New Roman" w:cs="Times New Roman"/>
          <w:bCs/>
        </w:rPr>
        <w:t xml:space="preserve">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tbl>
      <w:tblPr>
        <w:tblW w:w="1091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969"/>
        <w:gridCol w:w="851"/>
        <w:gridCol w:w="567"/>
        <w:gridCol w:w="709"/>
        <w:gridCol w:w="1701"/>
        <w:gridCol w:w="708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"/>
        </w:trPr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РФ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/>
        </w:trPr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/>
        </w:trPr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2"/>
        </w:trPr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высших органов исполнительной власти субъектов РФ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обилизационная  и вневойсковая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96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условно утвержденных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85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716,73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764,24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69"/>
        <w:ind w:firstLine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Приложение </w:t>
      </w:r>
      <w:r>
        <w:rPr>
          <w:rFonts w:ascii="Times New Roman" w:hAnsi="Times New Roman" w:cs="Times New Roman"/>
          <w:sz w:val="20"/>
          <w:szCs w:val="20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решению </w:t>
      </w:r>
      <w:r>
        <w:rPr>
          <w:rFonts w:ascii="Times New Roman" w:hAnsi="Times New Roman" w:cs="Times New Roman"/>
          <w:sz w:val="20"/>
        </w:rPr>
        <w:t xml:space="preserve">Совета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lang w:val="tt-RU"/>
        </w:rPr>
        <w:t xml:space="preserve">                      </w:t>
      </w:r>
      <w:r>
        <w:rPr>
          <w:rFonts w:ascii="Times New Roman" w:hAnsi="Times New Roman" w:cs="Times New Roman"/>
          <w:sz w:val="20"/>
        </w:rPr>
        <w:t xml:space="preserve">«О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бюджет</w:t>
      </w:r>
      <w:r>
        <w:rPr>
          <w:rFonts w:ascii="Times New Roman" w:hAnsi="Times New Roman" w:cs="Times New Roman"/>
          <w:sz w:val="20"/>
        </w:rPr>
        <w:t xml:space="preserve">е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Нурлатского</w:t>
      </w:r>
      <w:r>
        <w:rPr>
          <w:rFonts w:ascii="Times New Roman" w:hAnsi="Times New Roman" w:cs="Times New Roman"/>
          <w:sz w:val="20"/>
        </w:rPr>
        <w:t xml:space="preserve"> сельского поселения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Буинского муниципального района Республики Татарстан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tt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 xml:space="preserve">202</w:t>
      </w:r>
      <w:r>
        <w:rPr>
          <w:rFonts w:ascii="Times New Roman" w:hAnsi="Times New Roman" w:cs="Times New Roman"/>
          <w:sz w:val="20"/>
          <w:szCs w:val="20"/>
        </w:rPr>
        <w:t xml:space="preserve">6 </w:t>
      </w:r>
      <w:r>
        <w:rPr>
          <w:rFonts w:ascii="Times New Roman" w:hAnsi="Times New Roman" w:cs="Times New Roman"/>
          <w:sz w:val="20"/>
          <w:szCs w:val="20"/>
        </w:rPr>
        <w:t xml:space="preserve">год и на плановый период 202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>
        <w:rPr>
          <w:rFonts w:ascii="Times New Roman" w:hAnsi="Times New Roman" w:cs="Times New Roman"/>
          <w:sz w:val="20"/>
          <w:szCs w:val="20"/>
        </w:rPr>
        <w:t xml:space="preserve">8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6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Нурлат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целевым статьям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(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муниципальным программам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Нурлат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Буинского муниципального района Республики Татарстан и непрограммным направлениям деятельности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группам видов расходов классификации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91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54"/>
        <w:gridCol w:w="567"/>
        <w:gridCol w:w="567"/>
        <w:gridCol w:w="1843"/>
        <w:gridCol w:w="70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Нурлатского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tabs>
                <w:tab w:val="left" w:pos="375" w:leader="none"/>
                <w:tab w:val="center" w:pos="6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right"/>
              <w:tabs>
                <w:tab w:val="left" w:pos="375" w:leader="none"/>
                <w:tab w:val="center" w:pos="68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РФ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высших органов исполнительной власти субъектов РФ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обилизационная  и вневойсковая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199,14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3 704,77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86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Нурлат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Буинского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целевым статьям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(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муниципальным программам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Нурлат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Буинского муниципального района Республики Татарстан и непрограммным направлениям деятельности</w:t>
      </w:r>
      <w:r>
        <w:rPr>
          <w:rStyle w:val="87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группам видов расходов классификации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-202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ы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1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678"/>
        <w:gridCol w:w="567"/>
        <w:gridCol w:w="567"/>
        <w:gridCol w:w="1843"/>
        <w:gridCol w:w="709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"/>
        </w:trPr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РФ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"/>
        </w:trPr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/>
        </w:trPr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2"/>
        </w:trPr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высших органов исполнительной власти субъектов РФ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обилизационная  и вневойсковая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315,27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591,27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78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(без условно утвержденных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vAlign w:val="bottom"/>
            <w:textDirection w:val="lrTb"/>
            <w:noWrap w:val="false"/>
          </w:tcPr>
          <w:p>
            <w:pPr>
              <w:pStyle w:val="869"/>
              <w:ind w:firstLine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3 716,73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Align w:val="bottom"/>
            <w:textDirection w:val="lrTb"/>
            <w:noWrap w:val="false"/>
          </w:tcPr>
          <w:p>
            <w:pPr>
              <w:pStyle w:val="869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3 764,24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851" w:right="1134" w:bottom="79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firstLine="0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  <w:rFonts w:ascii="Times New Roman" w:hAnsi="Times New Roman" w:cs="Times New Roman"/>
        <w:sz w:val="24"/>
        <w:szCs w:val="24"/>
      </w:rPr>
      <w:framePr w:wrap="around" w:vAnchor="text" w:hAnchor="margin" w:xAlign="right" w:y="1"/>
    </w:pPr>
    <w:r>
      <w:rPr>
        <w:rStyle w:val="882"/>
        <w:rFonts w:ascii="Times New Roman" w:hAnsi="Times New Roman" w:cs="Times New Roman"/>
        <w:sz w:val="24"/>
        <w:szCs w:val="24"/>
      </w:rPr>
      <w:fldChar w:fldCharType="begin"/>
    </w:r>
    <w:r>
      <w:rPr>
        <w:rStyle w:val="882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882"/>
        <w:rFonts w:ascii="Times New Roman" w:hAnsi="Times New Roman" w:cs="Times New Roman"/>
        <w:sz w:val="24"/>
        <w:szCs w:val="24"/>
      </w:rPr>
      <w:fldChar w:fldCharType="separate"/>
    </w:r>
    <w:r>
      <w:rPr>
        <w:rStyle w:val="882"/>
        <w:rFonts w:ascii="Times New Roman" w:hAnsi="Times New Roman" w:cs="Times New Roman"/>
        <w:sz w:val="24"/>
        <w:szCs w:val="24"/>
      </w:rPr>
      <w:t xml:space="preserve">16</w:t>
    </w:r>
    <w:r>
      <w:rPr>
        <w:rStyle w:val="882"/>
        <w:rFonts w:ascii="Times New Roman" w:hAnsi="Times New Roman" w:cs="Times New Roman"/>
        <w:sz w:val="24"/>
        <w:szCs w:val="24"/>
      </w:rPr>
      <w:fldChar w:fldCharType="end"/>
    </w:r>
    <w:r>
      <w:rPr>
        <w:rStyle w:val="882"/>
        <w:rFonts w:ascii="Times New Roman" w:hAnsi="Times New Roman" w:cs="Times New Roman"/>
        <w:sz w:val="24"/>
        <w:szCs w:val="24"/>
      </w:rPr>
    </w:r>
    <w:r>
      <w:rPr>
        <w:rStyle w:val="882"/>
        <w:rFonts w:ascii="Times New Roman" w:hAnsi="Times New Roman" w:cs="Times New Roman"/>
        <w:sz w:val="24"/>
        <w:szCs w:val="24"/>
      </w:rPr>
    </w:r>
  </w:p>
  <w:p>
    <w:pPr>
      <w:pStyle w:val="88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pPr>
      <w:ind w:firstLine="720"/>
      <w:jc w:val="both"/>
      <w:widowControl w:val="off"/>
    </w:pPr>
    <w:rPr>
      <w:rFonts w:ascii="Arial" w:hAnsi="Arial" w:cs="Arial"/>
      <w:sz w:val="22"/>
      <w:szCs w:val="22"/>
      <w:lang w:val="ru-RU" w:eastAsia="ru-RU" w:bidi="ar-SA"/>
    </w:rPr>
  </w:style>
  <w:style w:type="paragraph" w:styleId="870">
    <w:name w:val="Заголовок 1"/>
    <w:basedOn w:val="869"/>
    <w:next w:val="869"/>
    <w:link w:val="86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paragraph" w:styleId="871">
    <w:name w:val="Заголовок 2"/>
    <w:basedOn w:val="869"/>
    <w:next w:val="869"/>
    <w:link w:val="892"/>
    <w:qFormat/>
    <w:pPr>
      <w:ind w:firstLine="0"/>
      <w:jc w:val="left"/>
      <w:keepNext/>
      <w:spacing w:before="240" w:after="60"/>
      <w:widowControl/>
      <w:outlineLvl w:val="1"/>
    </w:pPr>
    <w:rPr>
      <w:rFonts w:cs="Times New Roman"/>
      <w:b/>
      <w:bCs/>
      <w:i/>
      <w:iCs/>
      <w:sz w:val="28"/>
      <w:szCs w:val="28"/>
      <w:lang w:val="en-US" w:eastAsia="en-US"/>
    </w:rPr>
  </w:style>
  <w:style w:type="paragraph" w:styleId="872">
    <w:name w:val="Заголовок 3"/>
    <w:basedOn w:val="869"/>
    <w:next w:val="869"/>
    <w:link w:val="890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n-US" w:eastAsia="en-US"/>
    </w:rPr>
  </w:style>
  <w:style w:type="character" w:styleId="873">
    <w:name w:val="Основной шрифт абзаца"/>
    <w:next w:val="873"/>
    <w:link w:val="869"/>
    <w:uiPriority w:val="1"/>
    <w:semiHidden/>
    <w:unhideWhenUsed/>
  </w:style>
  <w:style w:type="table" w:styleId="874">
    <w:name w:val="Обычная таблица"/>
    <w:next w:val="874"/>
    <w:link w:val="869"/>
    <w:uiPriority w:val="99"/>
    <w:semiHidden/>
    <w:unhideWhenUsed/>
    <w:qFormat/>
    <w:tblPr/>
  </w:style>
  <w:style w:type="numbering" w:styleId="875">
    <w:name w:val="Нет списка"/>
    <w:next w:val="875"/>
    <w:link w:val="869"/>
    <w:uiPriority w:val="99"/>
    <w:semiHidden/>
    <w:unhideWhenUsed/>
  </w:style>
  <w:style w:type="character" w:styleId="876">
    <w:name w:val="Цветовое выделение"/>
    <w:next w:val="876"/>
    <w:link w:val="869"/>
    <w:rPr>
      <w:b/>
      <w:bCs/>
      <w:color w:val="000080"/>
      <w:sz w:val="22"/>
      <w:szCs w:val="22"/>
    </w:rPr>
  </w:style>
  <w:style w:type="character" w:styleId="877">
    <w:name w:val="Гипертекстовая ссылка"/>
    <w:next w:val="877"/>
    <w:link w:val="869"/>
    <w:rPr>
      <w:b/>
      <w:bCs/>
      <w:color w:val="008000"/>
      <w:sz w:val="22"/>
      <w:szCs w:val="22"/>
      <w:u w:val="single"/>
    </w:rPr>
  </w:style>
  <w:style w:type="paragraph" w:styleId="878">
    <w:name w:val="Текст (лев. подпись)"/>
    <w:basedOn w:val="869"/>
    <w:next w:val="869"/>
    <w:link w:val="869"/>
    <w:pPr>
      <w:ind w:firstLine="0"/>
      <w:jc w:val="left"/>
    </w:pPr>
  </w:style>
  <w:style w:type="paragraph" w:styleId="879">
    <w:name w:val="Текст (прав. подпись)"/>
    <w:basedOn w:val="869"/>
    <w:next w:val="869"/>
    <w:link w:val="869"/>
    <w:pPr>
      <w:ind w:firstLine="0"/>
      <w:jc w:val="right"/>
    </w:pPr>
  </w:style>
  <w:style w:type="paragraph" w:styleId="880">
    <w:name w:val="Таблицы (моноширинный)"/>
    <w:basedOn w:val="869"/>
    <w:next w:val="869"/>
    <w:link w:val="869"/>
    <w:pPr>
      <w:ind w:firstLine="0"/>
    </w:pPr>
    <w:rPr>
      <w:rFonts w:ascii="Courier New" w:hAnsi="Courier New" w:cs="Courier New"/>
    </w:rPr>
  </w:style>
  <w:style w:type="paragraph" w:styleId="881">
    <w:name w:val="Верхний колонтитул"/>
    <w:basedOn w:val="869"/>
    <w:next w:val="881"/>
    <w:link w:val="869"/>
    <w:pPr>
      <w:tabs>
        <w:tab w:val="center" w:pos="4677" w:leader="none"/>
        <w:tab w:val="right" w:pos="9355" w:leader="none"/>
      </w:tabs>
    </w:pPr>
  </w:style>
  <w:style w:type="character" w:styleId="882">
    <w:name w:val="Номер страницы"/>
    <w:basedOn w:val="873"/>
    <w:next w:val="882"/>
    <w:link w:val="869"/>
  </w:style>
  <w:style w:type="paragraph" w:styleId="883">
    <w:name w:val="Нижний колонтитул"/>
    <w:basedOn w:val="869"/>
    <w:next w:val="883"/>
    <w:link w:val="869"/>
    <w:pPr>
      <w:tabs>
        <w:tab w:val="center" w:pos="4677" w:leader="none"/>
        <w:tab w:val="right" w:pos="9355" w:leader="none"/>
      </w:tabs>
    </w:pPr>
  </w:style>
  <w:style w:type="paragraph" w:styleId="884">
    <w:name w:val="ConsPlusNormal"/>
    <w:next w:val="884"/>
    <w:link w:val="86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5">
    <w:name w:val="Основной текст"/>
    <w:basedOn w:val="869"/>
    <w:next w:val="885"/>
    <w:link w:val="869"/>
    <w:pPr>
      <w:spacing w:after="120"/>
    </w:pPr>
  </w:style>
  <w:style w:type="paragraph" w:styleId="886">
    <w:name w:val="Текст выноски"/>
    <w:basedOn w:val="869"/>
    <w:next w:val="886"/>
    <w:link w:val="869"/>
    <w:semiHidden/>
    <w:rPr>
      <w:rFonts w:ascii="Tahoma" w:hAnsi="Tahoma" w:cs="Tahoma"/>
      <w:sz w:val="16"/>
      <w:szCs w:val="16"/>
    </w:rPr>
  </w:style>
  <w:style w:type="paragraph" w:styleId="887">
    <w:name w:val="ConsTitle"/>
    <w:next w:val="887"/>
    <w:link w:val="869"/>
    <w:pPr>
      <w:ind w:right="19772"/>
      <w:widowControl w:val="off"/>
    </w:pPr>
    <w:rPr>
      <w:rFonts w:ascii="Arial" w:hAnsi="Arial" w:cs="Arial"/>
      <w:b/>
      <w:bCs/>
      <w:sz w:val="16"/>
      <w:szCs w:val="16"/>
      <w:lang w:val="ru-RU" w:eastAsia="en-US" w:bidi="ar-SA"/>
    </w:rPr>
  </w:style>
  <w:style w:type="paragraph" w:styleId="888">
    <w:name w:val="Схема документа"/>
    <w:basedOn w:val="869"/>
    <w:next w:val="888"/>
    <w:link w:val="86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889">
    <w:name w:val="Сетка таблицы"/>
    <w:basedOn w:val="874"/>
    <w:next w:val="889"/>
    <w:link w:val="869"/>
    <w:tblPr/>
  </w:style>
  <w:style w:type="character" w:styleId="890">
    <w:name w:val="Заголовок 3 Знак"/>
    <w:next w:val="890"/>
    <w:link w:val="872"/>
    <w:rPr>
      <w:rFonts w:ascii="Cambria" w:hAnsi="Cambria" w:eastAsia="Times New Roman" w:cs="Times New Roman"/>
      <w:b/>
      <w:bCs/>
      <w:sz w:val="26"/>
      <w:szCs w:val="26"/>
    </w:rPr>
  </w:style>
  <w:style w:type="paragraph" w:styleId="891">
    <w:name w:val="ConsNormal"/>
    <w:next w:val="891"/>
    <w:link w:val="86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92">
    <w:name w:val="Заголовок 2 Знак"/>
    <w:next w:val="892"/>
    <w:link w:val="871"/>
    <w:rPr>
      <w:rFonts w:ascii="Arial" w:hAnsi="Arial" w:cs="Arial"/>
      <w:b/>
      <w:bCs/>
      <w:i/>
      <w:iCs/>
      <w:sz w:val="28"/>
      <w:szCs w:val="28"/>
    </w:rPr>
  </w:style>
  <w:style w:type="paragraph" w:styleId="893">
    <w:name w:val="ConsPlusNonformat"/>
    <w:next w:val="893"/>
    <w:link w:val="869"/>
    <w:rPr>
      <w:rFonts w:ascii="Courier New" w:hAnsi="Courier New" w:cs="Courier New"/>
      <w:lang w:val="ru-RU" w:eastAsia="ru-RU" w:bidi="ar-SA"/>
    </w:rPr>
  </w:style>
  <w:style w:type="paragraph" w:styleId="894">
    <w:name w:val="ConsPlusTitle"/>
    <w:next w:val="894"/>
    <w:link w:val="869"/>
    <w:rPr>
      <w:rFonts w:ascii="Arial" w:hAnsi="Arial" w:cs="Arial"/>
      <w:b/>
      <w:bCs/>
      <w:lang w:val="ru-RU" w:eastAsia="ru-RU" w:bidi="ar-SA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МинФин РТ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95</cp:revision>
  <dcterms:created xsi:type="dcterms:W3CDTF">2021-11-09T07:08:00Z</dcterms:created>
  <dcterms:modified xsi:type="dcterms:W3CDTF">2025-12-15T05:26:28Z</dcterms:modified>
  <cp:version>1048576</cp:version>
</cp:coreProperties>
</file>