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
        <w:tblW w:w="10206" w:type="dxa"/>
        <w:tblLayout w:type="fixed"/>
        <w:tblCellMar>
          <w:left w:w="0" w:type="dxa"/>
          <w:right w:w="0" w:type="dxa"/>
        </w:tblCellMar>
        <w:tblLook w:val="0000" w:firstRow="0" w:lastRow="0" w:firstColumn="0" w:lastColumn="0" w:noHBand="0" w:noVBand="0"/>
      </w:tblPr>
      <w:tblGrid>
        <w:gridCol w:w="4253"/>
        <w:gridCol w:w="599"/>
        <w:gridCol w:w="818"/>
        <w:gridCol w:w="4536"/>
      </w:tblGrid>
      <w:tr w:rsidR="00C036E5" w:rsidRPr="00C036E5" w:rsidTr="00C036E5">
        <w:trPr>
          <w:trHeight w:val="1560"/>
        </w:trPr>
        <w:tc>
          <w:tcPr>
            <w:tcW w:w="4253" w:type="dxa"/>
            <w:shd w:val="clear" w:color="auto" w:fill="auto"/>
            <w:vAlign w:val="center"/>
          </w:tcPr>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РЕСПУБЛИКА ТАТАРСТАН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БУИНСКИЙ  МУНИЦИПАЛЬНЫЙ  РАЙОН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СОВЕТ </w:t>
            </w:r>
            <w:r w:rsidR="00EA65B2">
              <w:rPr>
                <w:rFonts w:ascii="Times New Roman" w:eastAsia="Times New Roman" w:hAnsi="Times New Roman" w:cs="Times New Roman"/>
                <w:bCs/>
                <w:color w:val="000000"/>
                <w:kern w:val="32"/>
                <w:sz w:val="28"/>
                <w:szCs w:val="32"/>
                <w:lang w:eastAsia="ru-RU"/>
              </w:rPr>
              <w:t>СОРОК-САЙДАКСКОЕ</w:t>
            </w:r>
          </w:p>
          <w:p w:rsidR="00C036E5" w:rsidRPr="00C036E5" w:rsidRDefault="00C036E5" w:rsidP="00C036E5">
            <w:pPr>
              <w:spacing w:after="0" w:line="300" w:lineRule="exact"/>
              <w:jc w:val="center"/>
              <w:outlineLvl w:val="0"/>
              <w:rPr>
                <w:rFonts w:ascii="Arial" w:eastAsia="Times New Roman" w:hAnsi="Arial" w:cs="Arial"/>
                <w:b/>
                <w:bCs/>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СЕЛЬСКОГО ПОСЕЛЕНИЯ                                                                                                                                                                                                        </w:t>
            </w:r>
          </w:p>
        </w:tc>
        <w:tc>
          <w:tcPr>
            <w:tcW w:w="1417" w:type="dxa"/>
            <w:gridSpan w:val="2"/>
            <w:shd w:val="clear" w:color="auto" w:fill="auto"/>
            <w:vAlign w:val="center"/>
          </w:tcPr>
          <w:p w:rsidR="00C036E5" w:rsidRPr="00C036E5" w:rsidRDefault="00C036E5" w:rsidP="00C036E5">
            <w:pPr>
              <w:spacing w:after="0" w:line="240" w:lineRule="auto"/>
              <w:ind w:left="214" w:hanging="214"/>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sz w:val="24"/>
                <w:szCs w:val="24"/>
                <w:lang w:eastAsia="ru-RU"/>
              </w:rPr>
              <w:drawing>
                <wp:inline distT="0" distB="0" distL="0" distR="0">
                  <wp:extent cx="725170"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901065"/>
                          </a:xfrm>
                          <a:prstGeom prst="rect">
                            <a:avLst/>
                          </a:prstGeom>
                          <a:noFill/>
                          <a:ln>
                            <a:noFill/>
                          </a:ln>
                        </pic:spPr>
                      </pic:pic>
                    </a:graphicData>
                  </a:graphic>
                </wp:inline>
              </w:drawing>
            </w:r>
          </w:p>
        </w:tc>
        <w:tc>
          <w:tcPr>
            <w:tcW w:w="4536" w:type="dxa"/>
            <w:shd w:val="clear" w:color="auto" w:fill="auto"/>
            <w:vAlign w:val="center"/>
          </w:tcPr>
          <w:p w:rsidR="00C036E5" w:rsidRPr="00C036E5" w:rsidRDefault="00C036E5" w:rsidP="00C036E5">
            <w:pPr>
              <w:spacing w:after="0" w:line="300" w:lineRule="exact"/>
              <w:ind w:left="1"/>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ТАТАРСТАН РЕСПУБЛИКАСЫ</w:t>
            </w:r>
          </w:p>
          <w:p w:rsidR="00C036E5" w:rsidRPr="00C036E5" w:rsidRDefault="00C036E5" w:rsidP="00C036E5">
            <w:pPr>
              <w:spacing w:after="0" w:line="300" w:lineRule="exact"/>
              <w:jc w:val="center"/>
              <w:rPr>
                <w:rFonts w:ascii="Times New Roman" w:eastAsia="Times New Roman" w:hAnsi="Times New Roman" w:cs="Times New Roman"/>
                <w:sz w:val="28"/>
                <w:szCs w:val="24"/>
                <w:lang w:eastAsia="ru-RU"/>
              </w:rPr>
            </w:pPr>
            <w:r w:rsidRPr="00C036E5">
              <w:rPr>
                <w:rFonts w:ascii="Times New Roman" w:eastAsia="Times New Roman" w:hAnsi="Times New Roman" w:cs="Times New Roman"/>
                <w:sz w:val="28"/>
                <w:szCs w:val="24"/>
                <w:lang w:eastAsia="ru-RU"/>
              </w:rPr>
              <w:t>БУА МУНИЦИПАЛЬ РАЙОНЫ</w:t>
            </w:r>
          </w:p>
          <w:p w:rsidR="00EA65B2" w:rsidRDefault="00EA65B2" w:rsidP="00C036E5">
            <w:pPr>
              <w:spacing w:after="0" w:line="300" w:lineRule="exact"/>
              <w:jc w:val="center"/>
              <w:rPr>
                <w:rFonts w:ascii="Times New Roman" w:eastAsia="Times New Roman" w:hAnsi="Times New Roman" w:cs="Times New Roman"/>
                <w:sz w:val="28"/>
                <w:szCs w:val="24"/>
                <w:lang w:eastAsia="ru-RU"/>
              </w:rPr>
            </w:pPr>
            <w:r w:rsidRPr="00EA65B2">
              <w:rPr>
                <w:rFonts w:ascii="Times New Roman" w:eastAsia="Times New Roman" w:hAnsi="Times New Roman" w:cs="Times New Roman"/>
                <w:sz w:val="28"/>
                <w:szCs w:val="24"/>
                <w:lang w:eastAsia="ru-RU"/>
              </w:rPr>
              <w:t>КЫРЫК-САДАК</w:t>
            </w:r>
          </w:p>
          <w:p w:rsidR="00C036E5" w:rsidRPr="00C036E5" w:rsidRDefault="00C036E5" w:rsidP="00C036E5">
            <w:pPr>
              <w:spacing w:after="0" w:line="300" w:lineRule="exact"/>
              <w:jc w:val="center"/>
              <w:rPr>
                <w:rFonts w:ascii="Times New Roman" w:eastAsia="Times New Roman" w:hAnsi="Times New Roman" w:cs="Times New Roman"/>
                <w:sz w:val="28"/>
                <w:szCs w:val="24"/>
                <w:lang w:eastAsia="ru-RU"/>
              </w:rPr>
            </w:pPr>
            <w:r w:rsidRPr="00C036E5">
              <w:rPr>
                <w:rFonts w:ascii="Times New Roman" w:eastAsia="Times New Roman" w:hAnsi="Times New Roman" w:cs="Times New Roman"/>
                <w:sz w:val="28"/>
                <w:szCs w:val="24"/>
                <w:lang w:eastAsia="ru-RU"/>
              </w:rPr>
              <w:t xml:space="preserve">АВЫЛ </w:t>
            </w:r>
            <w:r w:rsidRPr="00C036E5">
              <w:rPr>
                <w:rFonts w:ascii="Times New Roman" w:eastAsia="Times New Roman" w:hAnsi="Times New Roman" w:cs="Times New Roman"/>
                <w:sz w:val="28"/>
                <w:szCs w:val="24"/>
                <w:lang w:val="tt-RU" w:eastAsia="ru-RU"/>
              </w:rPr>
              <w:t>Җ</w:t>
            </w:r>
            <w:r w:rsidRPr="00C036E5">
              <w:rPr>
                <w:rFonts w:ascii="Times New Roman" w:eastAsia="Times New Roman" w:hAnsi="Times New Roman" w:cs="Times New Roman"/>
                <w:sz w:val="28"/>
                <w:szCs w:val="24"/>
                <w:lang w:eastAsia="ru-RU"/>
              </w:rPr>
              <w:t>ИРЛЕГЕ</w:t>
            </w:r>
          </w:p>
          <w:p w:rsidR="00C036E5" w:rsidRPr="00C036E5" w:rsidRDefault="00C036E5" w:rsidP="00C036E5">
            <w:pPr>
              <w:spacing w:after="0" w:line="300" w:lineRule="exact"/>
              <w:jc w:val="center"/>
              <w:rPr>
                <w:rFonts w:ascii="Times New Roman" w:eastAsia="Times New Roman" w:hAnsi="Times New Roman" w:cs="Times New Roman"/>
                <w:b/>
                <w:i/>
                <w:sz w:val="12"/>
                <w:szCs w:val="24"/>
                <w:lang w:eastAsia="ru-RU"/>
              </w:rPr>
            </w:pPr>
            <w:r w:rsidRPr="00C036E5">
              <w:rPr>
                <w:rFonts w:ascii="Times New Roman" w:eastAsia="Times New Roman" w:hAnsi="Times New Roman" w:cs="Times New Roman"/>
                <w:sz w:val="28"/>
                <w:szCs w:val="24"/>
                <w:lang w:eastAsia="ru-RU"/>
              </w:rPr>
              <w:t>СОВЕТЫ</w:t>
            </w:r>
          </w:p>
        </w:tc>
      </w:tr>
      <w:tr w:rsidR="00C036E5" w:rsidRPr="00C036E5" w:rsidTr="00C036E5">
        <w:trPr>
          <w:trHeight w:val="680"/>
        </w:trPr>
        <w:tc>
          <w:tcPr>
            <w:tcW w:w="10206" w:type="dxa"/>
            <w:gridSpan w:val="4"/>
            <w:shd w:val="clear" w:color="auto" w:fill="auto"/>
            <w:vAlign w:val="bottom"/>
          </w:tcPr>
          <w:p w:rsidR="00C036E5" w:rsidRPr="00C036E5" w:rsidRDefault="00C036E5" w:rsidP="00C036E5">
            <w:pPr>
              <w:spacing w:after="0" w:line="240" w:lineRule="auto"/>
              <w:ind w:firstLine="567"/>
              <w:outlineLvl w:val="0"/>
              <w:rPr>
                <w:rFonts w:ascii="Arial" w:eastAsia="Times New Roman" w:hAnsi="Arial" w:cs="Arial"/>
                <w:b/>
                <w:bCs/>
                <w:color w:val="000000"/>
                <w:kern w:val="32"/>
                <w:sz w:val="24"/>
                <w:szCs w:val="32"/>
                <w:lang w:eastAsia="ru-RU"/>
              </w:rPr>
            </w:pPr>
          </w:p>
        </w:tc>
      </w:tr>
      <w:tr w:rsidR="00C036E5" w:rsidRPr="00C036E5" w:rsidTr="00C036E5">
        <w:trPr>
          <w:trHeight w:val="1021"/>
        </w:trPr>
        <w:tc>
          <w:tcPr>
            <w:tcW w:w="4852"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b/>
                <w:sz w:val="28"/>
                <w:szCs w:val="24"/>
                <w:lang w:eastAsia="ru-RU"/>
              </w:rPr>
            </w:pPr>
            <w:r w:rsidRPr="00C036E5">
              <w:rPr>
                <w:rFonts w:ascii="Times New Roman" w:eastAsia="Times New Roman" w:hAnsi="Times New Roman" w:cs="Times New Roman"/>
                <w:b/>
                <w:sz w:val="28"/>
                <w:szCs w:val="24"/>
                <w:lang w:eastAsia="ru-RU"/>
              </w:rPr>
              <w:t>РЕШЕНИЕ</w:t>
            </w:r>
          </w:p>
          <w:p w:rsidR="00C036E5" w:rsidRPr="00C036E5" w:rsidRDefault="00C036E5" w:rsidP="00C036E5">
            <w:pPr>
              <w:spacing w:after="0" w:line="240" w:lineRule="auto"/>
              <w:rPr>
                <w:rFonts w:ascii="Times New Roman" w:eastAsia="Times New Roman" w:hAnsi="Times New Roman" w:cs="Times New Roman"/>
                <w:b/>
                <w:sz w:val="28"/>
                <w:szCs w:val="24"/>
                <w:lang w:eastAsia="ru-RU"/>
              </w:rPr>
            </w:pPr>
          </w:p>
          <w:p w:rsidR="00C036E5" w:rsidRPr="00C036E5" w:rsidRDefault="007C40C2" w:rsidP="00C036E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noProof/>
                <w:sz w:val="20"/>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562A77" w:rsidRPr="009C2CFC" w:rsidRDefault="00562A77" w:rsidP="00C036E5">
                        <w:pPr>
                          <w:jc w:val="center"/>
                          <w:rPr>
                            <w:sz w:val="18"/>
                            <w:szCs w:val="18"/>
                          </w:rPr>
                        </w:pPr>
                        <w:r w:rsidRPr="009C2CFC">
                          <w:rPr>
                            <w:sz w:val="18"/>
                            <w:szCs w:val="18"/>
                            <w:lang w:val="tt-RU"/>
                          </w:rPr>
                          <w:t>с</w:t>
                        </w:r>
                        <w:r w:rsidRPr="009C2CFC">
                          <w:rPr>
                            <w:sz w:val="18"/>
                            <w:szCs w:val="18"/>
                          </w:rPr>
                          <w:t xml:space="preserve">. </w:t>
                        </w:r>
                        <w:r w:rsidRPr="009C2CFC">
                          <w:rPr>
                            <w:sz w:val="18"/>
                            <w:szCs w:val="18"/>
                            <w:lang w:val="tt-RU"/>
                          </w:rPr>
                          <w:t>Альшеево</w:t>
                        </w:r>
                      </w:p>
                    </w:txbxContent>
                  </v:textbox>
                </v:shape>
              </w:pict>
            </w:r>
          </w:p>
          <w:p w:rsidR="00C036E5" w:rsidRPr="00C036E5" w:rsidRDefault="00562A77" w:rsidP="00C036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17.08.2016г. </w:t>
            </w:r>
          </w:p>
        </w:tc>
        <w:tc>
          <w:tcPr>
            <w:tcW w:w="5354"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b/>
                <w:sz w:val="24"/>
                <w:szCs w:val="24"/>
                <w:lang w:eastAsia="ru-RU"/>
              </w:rPr>
              <w:t>КАРАР</w:t>
            </w: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562A77" w:rsidRDefault="00C036E5" w:rsidP="00C036E5">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sz w:val="24"/>
                <w:szCs w:val="24"/>
                <w:lang w:eastAsia="ru-RU"/>
              </w:rPr>
              <w:t xml:space="preserve">№ </w:t>
            </w:r>
            <w:r w:rsidR="00562A77">
              <w:rPr>
                <w:rFonts w:ascii="Times New Roman" w:eastAsia="Times New Roman" w:hAnsi="Times New Roman" w:cs="Times New Roman"/>
                <w:sz w:val="24"/>
                <w:szCs w:val="24"/>
                <w:lang w:eastAsia="ru-RU"/>
              </w:rPr>
              <w:t xml:space="preserve"> 14-1</w:t>
            </w:r>
          </w:p>
        </w:tc>
      </w:tr>
    </w:tbl>
    <w:p w:rsid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EE7031" w:rsidRP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утверждении Положения о представлении лицом,</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roofErr w:type="gramStart"/>
      <w:r w:rsidRPr="00C036E5">
        <w:rPr>
          <w:rFonts w:ascii="Times New Roman" w:hAnsi="Times New Roman" w:cs="Times New Roman"/>
          <w:b/>
          <w:sz w:val="24"/>
          <w:szCs w:val="24"/>
        </w:rPr>
        <w:t>поступающим</w:t>
      </w:r>
      <w:proofErr w:type="gramEnd"/>
      <w:r w:rsidRPr="00C036E5">
        <w:rPr>
          <w:rFonts w:ascii="Times New Roman" w:hAnsi="Times New Roman" w:cs="Times New Roman"/>
          <w:b/>
          <w:sz w:val="24"/>
          <w:szCs w:val="24"/>
        </w:rPr>
        <w:t xml:space="preserve"> на должность руководителя муниципального</w:t>
      </w:r>
    </w:p>
    <w:p w:rsidR="003C3317"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учреждения </w:t>
      </w:r>
      <w:r w:rsidR="00EA65B2">
        <w:rPr>
          <w:rFonts w:ascii="Times New Roman" w:hAnsi="Times New Roman" w:cs="Times New Roman"/>
          <w:b/>
          <w:sz w:val="24"/>
          <w:szCs w:val="24"/>
        </w:rPr>
        <w:t>Сорок-</w:t>
      </w:r>
      <w:proofErr w:type="spellStart"/>
      <w:r w:rsidR="00EA65B2">
        <w:rPr>
          <w:rFonts w:ascii="Times New Roman" w:hAnsi="Times New Roman" w:cs="Times New Roman"/>
          <w:b/>
          <w:sz w:val="24"/>
          <w:szCs w:val="24"/>
        </w:rPr>
        <w:t>Сайдакское</w:t>
      </w:r>
      <w:proofErr w:type="spellEnd"/>
      <w:r w:rsidR="00562A77">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 xml:space="preserve">сельского поселения </w:t>
      </w:r>
      <w:r w:rsidRPr="00C036E5">
        <w:rPr>
          <w:rFonts w:ascii="Times New Roman" w:hAnsi="Times New Roman" w:cs="Times New Roman"/>
          <w:b/>
          <w:sz w:val="24"/>
          <w:szCs w:val="24"/>
        </w:rPr>
        <w:t xml:space="preserve">Буинского </w:t>
      </w:r>
    </w:p>
    <w:p w:rsidR="00EE7031"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муниципального района </w:t>
      </w:r>
      <w:r w:rsidR="00EE7031" w:rsidRPr="00C036E5">
        <w:rPr>
          <w:rFonts w:ascii="Times New Roman" w:hAnsi="Times New Roman" w:cs="Times New Roman"/>
          <w:b/>
          <w:sz w:val="24"/>
          <w:szCs w:val="24"/>
        </w:rPr>
        <w:t>Республики Татарстан</w:t>
      </w:r>
      <w:r w:rsidRPr="00C036E5">
        <w:rPr>
          <w:rFonts w:ascii="Times New Roman" w:hAnsi="Times New Roman" w:cs="Times New Roman"/>
          <w:b/>
          <w:sz w:val="24"/>
          <w:szCs w:val="24"/>
        </w:rPr>
        <w:t xml:space="preserve">, </w:t>
      </w:r>
    </w:p>
    <w:p w:rsidR="00AE2608" w:rsidRPr="00C036E5" w:rsidRDefault="00EE7031"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и руководителем </w:t>
      </w:r>
      <w:r w:rsidR="00AE2608" w:rsidRPr="00C036E5">
        <w:rPr>
          <w:rFonts w:ascii="Times New Roman" w:hAnsi="Times New Roman" w:cs="Times New Roman"/>
          <w:b/>
          <w:sz w:val="24"/>
          <w:szCs w:val="24"/>
        </w:rPr>
        <w:t>муниципального учреждения</w:t>
      </w:r>
    </w:p>
    <w:p w:rsidR="003C3317" w:rsidRPr="00C036E5" w:rsidRDefault="00EA65B2" w:rsidP="003C3317">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Сорок-</w:t>
      </w:r>
      <w:proofErr w:type="spellStart"/>
      <w:r>
        <w:rPr>
          <w:rFonts w:ascii="Times New Roman" w:hAnsi="Times New Roman" w:cs="Times New Roman"/>
          <w:b/>
          <w:sz w:val="24"/>
          <w:szCs w:val="24"/>
        </w:rPr>
        <w:t>Сайдакского</w:t>
      </w:r>
      <w:proofErr w:type="spellEnd"/>
      <w:r w:rsidRPr="00EA65B2">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 xml:space="preserve">сельского поселения </w:t>
      </w:r>
      <w:r w:rsidR="00AE2608" w:rsidRPr="00C036E5">
        <w:rPr>
          <w:rFonts w:ascii="Times New Roman" w:hAnsi="Times New Roman" w:cs="Times New Roman"/>
          <w:b/>
          <w:sz w:val="24"/>
          <w:szCs w:val="24"/>
        </w:rPr>
        <w:t xml:space="preserve">Буинского </w:t>
      </w:r>
    </w:p>
    <w:p w:rsidR="00AE2608" w:rsidRPr="00C036E5" w:rsidRDefault="00AE2608" w:rsidP="003C3317">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муниципального района Республики</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Татарстан сведений о доходах, </w:t>
      </w:r>
      <w:r w:rsidR="00D919BA" w:rsidRPr="00C036E5">
        <w:rPr>
          <w:rFonts w:ascii="Times New Roman" w:hAnsi="Times New Roman" w:cs="Times New Roman"/>
          <w:b/>
          <w:sz w:val="24"/>
          <w:szCs w:val="24"/>
        </w:rPr>
        <w:t>расходах</w:t>
      </w:r>
      <w:r w:rsidR="00584023" w:rsidRPr="00C036E5">
        <w:rPr>
          <w:rFonts w:ascii="Times New Roman" w:hAnsi="Times New Roman" w:cs="Times New Roman"/>
          <w:b/>
          <w:sz w:val="24"/>
          <w:szCs w:val="24"/>
        </w:rPr>
        <w:t>,</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имуществе и обязательствах</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имущественного характера»</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
    <w:p w:rsidR="00AE2608" w:rsidRPr="00C036E5"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C036E5">
        <w:rPr>
          <w:rFonts w:ascii="Times New Roman" w:hAnsi="Times New Roman" w:cs="Times New Roman"/>
          <w:sz w:val="24"/>
          <w:szCs w:val="24"/>
        </w:rPr>
        <w:t xml:space="preserve">Руководствуясь Федеральным законом от </w:t>
      </w:r>
      <w:smartTag w:uri="urn:schemas-microsoft-com:office:smarttags" w:element="date">
        <w:smartTagPr>
          <w:attr w:name="ls" w:val="trans"/>
          <w:attr w:name="Month" w:val="10"/>
          <w:attr w:name="Day" w:val="06"/>
          <w:attr w:name="Year" w:val="2003"/>
        </w:smartTagPr>
        <w:r w:rsidRPr="00C036E5">
          <w:rPr>
            <w:rFonts w:ascii="Times New Roman" w:hAnsi="Times New Roman" w:cs="Times New Roman"/>
            <w:sz w:val="24"/>
            <w:szCs w:val="24"/>
          </w:rPr>
          <w:t>06.10.2003</w:t>
        </w:r>
      </w:smartTag>
      <w:r w:rsidRPr="00C036E5">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Указом Президента Российской Федерации от </w:t>
      </w:r>
      <w:smartTag w:uri="urn:schemas-microsoft-com:office:smarttags" w:element="date">
        <w:smartTagPr>
          <w:attr w:name="ls" w:val="trans"/>
          <w:attr w:name="Month" w:val="06"/>
          <w:attr w:name="Day" w:val="23"/>
          <w:attr w:name="Year" w:val="2014"/>
        </w:smartTagPr>
        <w:r w:rsidRPr="00C036E5">
          <w:rPr>
            <w:rFonts w:ascii="Times New Roman" w:hAnsi="Times New Roman" w:cs="Times New Roman"/>
            <w:sz w:val="24"/>
            <w:szCs w:val="24"/>
          </w:rPr>
          <w:t>23.06.2014</w:t>
        </w:r>
      </w:smartTag>
      <w:r w:rsidRPr="00C036E5">
        <w:rPr>
          <w:rFonts w:ascii="Times New Roman" w:hAnsi="Times New Roman" w:cs="Times New Roman"/>
          <w:sz w:val="24"/>
          <w:szCs w:val="24"/>
        </w:rPr>
        <w:t xml:space="preserve">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w:t>
      </w:r>
      <w:r w:rsidR="001D519B" w:rsidRPr="001D519B">
        <w:rPr>
          <w:rFonts w:ascii="Times New Roman" w:hAnsi="Times New Roman" w:cs="Times New Roman"/>
          <w:sz w:val="24"/>
          <w:szCs w:val="24"/>
        </w:rPr>
        <w:t>Республики Татарстан</w:t>
      </w:r>
      <w:r w:rsidRPr="00C036E5">
        <w:rPr>
          <w:rFonts w:ascii="Times New Roman" w:hAnsi="Times New Roman" w:cs="Times New Roman"/>
          <w:sz w:val="24"/>
          <w:szCs w:val="24"/>
        </w:rPr>
        <w:t xml:space="preserve"> от </w:t>
      </w:r>
      <w:smartTag w:uri="urn:schemas-microsoft-com:office:smarttags" w:element="date">
        <w:smartTagPr>
          <w:attr w:name="ls" w:val="trans"/>
          <w:attr w:name="Month" w:val="03"/>
          <w:attr w:name="Day" w:val="20"/>
          <w:attr w:name="Year" w:val="2015"/>
        </w:smartTagPr>
        <w:r w:rsidRPr="00C036E5">
          <w:rPr>
            <w:rFonts w:ascii="Times New Roman" w:hAnsi="Times New Roman" w:cs="Times New Roman"/>
            <w:sz w:val="24"/>
            <w:szCs w:val="24"/>
          </w:rPr>
          <w:t>20.03.2015</w:t>
        </w:r>
      </w:smartTag>
      <w:r w:rsidRPr="00C036E5">
        <w:rPr>
          <w:rFonts w:ascii="Times New Roman" w:hAnsi="Times New Roman" w:cs="Times New Roman"/>
          <w:sz w:val="24"/>
          <w:szCs w:val="24"/>
        </w:rPr>
        <w:t>г. № 137 «</w:t>
      </w:r>
      <w:r w:rsidR="00471B6C" w:rsidRPr="00C036E5">
        <w:rPr>
          <w:rFonts w:ascii="Times New Roman" w:hAnsi="Times New Roman" w:cs="Times New Roman"/>
          <w:sz w:val="24"/>
          <w:szCs w:val="24"/>
        </w:rPr>
        <w:t>Об утверждении Положения о</w:t>
      </w:r>
      <w:r w:rsidR="001D519B">
        <w:rPr>
          <w:rFonts w:ascii="Times New Roman" w:hAnsi="Times New Roman" w:cs="Times New Roman"/>
          <w:sz w:val="24"/>
          <w:szCs w:val="24"/>
        </w:rPr>
        <w:t xml:space="preserve"> </w:t>
      </w:r>
      <w:r w:rsidR="00471B6C" w:rsidRPr="00C036E5">
        <w:rPr>
          <w:rFonts w:ascii="Times New Roman" w:hAnsi="Times New Roman" w:cs="Times New Roman"/>
          <w:sz w:val="24"/>
          <w:szCs w:val="24"/>
        </w:rPr>
        <w:t>представлении лицом</w:t>
      </w:r>
      <w:proofErr w:type="gramEnd"/>
      <w:r w:rsidR="00471B6C" w:rsidRPr="00C036E5">
        <w:rPr>
          <w:rFonts w:ascii="Times New Roman" w:hAnsi="Times New Roman" w:cs="Times New Roman"/>
          <w:sz w:val="24"/>
          <w:szCs w:val="24"/>
        </w:rPr>
        <w:t>,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w:t>
      </w:r>
      <w:r w:rsidR="00D919BA" w:rsidRPr="00C036E5">
        <w:rPr>
          <w:rFonts w:ascii="Times New Roman" w:hAnsi="Times New Roman" w:cs="Times New Roman"/>
          <w:sz w:val="24"/>
          <w:szCs w:val="24"/>
        </w:rPr>
        <w:t xml:space="preserve"> расходах</w:t>
      </w:r>
      <w:r w:rsidR="00471B6C" w:rsidRPr="00C036E5">
        <w:rPr>
          <w:rFonts w:ascii="Times New Roman" w:hAnsi="Times New Roman" w:cs="Times New Roman"/>
          <w:sz w:val="24"/>
          <w:szCs w:val="24"/>
        </w:rPr>
        <w:t xml:space="preserve"> об имуществе и обязательствах имущественного характера</w:t>
      </w:r>
      <w:r w:rsidR="000017F0" w:rsidRPr="00C036E5">
        <w:rPr>
          <w:rFonts w:ascii="Times New Roman" w:hAnsi="Times New Roman" w:cs="Times New Roman"/>
          <w:sz w:val="24"/>
          <w:szCs w:val="24"/>
        </w:rPr>
        <w:t>»</w:t>
      </w:r>
      <w:r w:rsidRPr="00C036E5">
        <w:rPr>
          <w:rFonts w:ascii="Times New Roman" w:hAnsi="Times New Roman" w:cs="Times New Roman"/>
          <w:sz w:val="24"/>
          <w:szCs w:val="24"/>
        </w:rPr>
        <w:t xml:space="preserve">, Совет </w:t>
      </w:r>
      <w:r w:rsidR="00EA65B2" w:rsidRPr="00EA65B2">
        <w:rPr>
          <w:rFonts w:ascii="Times New Roman" w:hAnsi="Times New Roman" w:cs="Times New Roman"/>
          <w:sz w:val="24"/>
          <w:szCs w:val="24"/>
        </w:rPr>
        <w:t>Сорок-</w:t>
      </w:r>
      <w:proofErr w:type="spellStart"/>
      <w:r w:rsidR="00EA65B2" w:rsidRPr="00EA65B2">
        <w:rPr>
          <w:rFonts w:ascii="Times New Roman" w:hAnsi="Times New Roman" w:cs="Times New Roman"/>
          <w:sz w:val="24"/>
          <w:szCs w:val="24"/>
        </w:rPr>
        <w:t>Сайдакского</w:t>
      </w:r>
      <w:proofErr w:type="spellEnd"/>
      <w:r w:rsidR="00EA65B2" w:rsidRPr="00EA65B2">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Pr="00C036E5">
        <w:rPr>
          <w:rFonts w:ascii="Times New Roman" w:hAnsi="Times New Roman" w:cs="Times New Roman"/>
          <w:sz w:val="24"/>
          <w:szCs w:val="24"/>
        </w:rPr>
        <w:t>Буинского муниципального района</w:t>
      </w:r>
    </w:p>
    <w:p w:rsidR="00471B6C" w:rsidRPr="00C036E5" w:rsidRDefault="00471B6C" w:rsidP="00C036E5">
      <w:pPr>
        <w:widowControl w:val="0"/>
        <w:autoSpaceDE w:val="0"/>
        <w:autoSpaceDN w:val="0"/>
        <w:adjustRightInd w:val="0"/>
        <w:spacing w:after="0" w:line="240" w:lineRule="auto"/>
        <w:rPr>
          <w:rFonts w:ascii="Times New Roman" w:hAnsi="Times New Roman" w:cs="Times New Roman"/>
          <w:b/>
          <w:sz w:val="24"/>
          <w:szCs w:val="24"/>
        </w:rPr>
      </w:pP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4"/>
          <w:szCs w:val="24"/>
        </w:rPr>
      </w:pPr>
      <w:r w:rsidRPr="00C036E5">
        <w:rPr>
          <w:rFonts w:ascii="Times New Roman" w:hAnsi="Times New Roman" w:cs="Times New Roman"/>
          <w:b/>
          <w:sz w:val="24"/>
          <w:szCs w:val="24"/>
        </w:rPr>
        <w:t>РЕШИЛ:</w:t>
      </w:r>
    </w:p>
    <w:p w:rsidR="00AE2608" w:rsidRPr="00C036E5" w:rsidRDefault="000017F0"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1</w:t>
      </w:r>
      <w:r w:rsidR="00AE2608" w:rsidRPr="00C036E5">
        <w:rPr>
          <w:rFonts w:ascii="Times New Roman" w:hAnsi="Times New Roman" w:cs="Times New Roman"/>
          <w:sz w:val="24"/>
          <w:szCs w:val="24"/>
        </w:rPr>
        <w:t>. Утвердить прилагаемые:</w:t>
      </w:r>
    </w:p>
    <w:p w:rsidR="00AE2608" w:rsidRPr="00C036E5" w:rsidRDefault="00C036E5"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AE2608" w:rsidRPr="00C036E5">
        <w:rPr>
          <w:rFonts w:ascii="Times New Roman" w:hAnsi="Times New Roman" w:cs="Times New Roman"/>
          <w:sz w:val="24"/>
          <w:szCs w:val="24"/>
        </w:rPr>
        <w:t xml:space="preserve">Положение о представлении лицом, поступающим на должность руководителя муниципального учреждения </w:t>
      </w:r>
      <w:r w:rsidR="00EA65B2" w:rsidRPr="00EA65B2">
        <w:rPr>
          <w:rFonts w:ascii="Times New Roman" w:hAnsi="Times New Roman" w:cs="Times New Roman"/>
          <w:sz w:val="24"/>
          <w:szCs w:val="24"/>
        </w:rPr>
        <w:t>Сорок-</w:t>
      </w:r>
      <w:proofErr w:type="spellStart"/>
      <w:r w:rsidR="00EA65B2" w:rsidRPr="00EA65B2">
        <w:rPr>
          <w:rFonts w:ascii="Times New Roman" w:hAnsi="Times New Roman" w:cs="Times New Roman"/>
          <w:sz w:val="24"/>
          <w:szCs w:val="24"/>
        </w:rPr>
        <w:t>Сайдакского</w:t>
      </w:r>
      <w:proofErr w:type="spellEnd"/>
      <w:r w:rsidR="00EA65B2" w:rsidRPr="00EA65B2">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и руководителем муниципального учреждения </w:t>
      </w:r>
      <w:r w:rsidR="00EA65B2" w:rsidRPr="00EA65B2">
        <w:rPr>
          <w:rFonts w:ascii="Times New Roman" w:hAnsi="Times New Roman" w:cs="Times New Roman"/>
          <w:sz w:val="24"/>
          <w:szCs w:val="24"/>
        </w:rPr>
        <w:t>Сорок-</w:t>
      </w:r>
      <w:proofErr w:type="spellStart"/>
      <w:r w:rsidR="00EA65B2" w:rsidRPr="00EA65B2">
        <w:rPr>
          <w:rFonts w:ascii="Times New Roman" w:hAnsi="Times New Roman" w:cs="Times New Roman"/>
          <w:sz w:val="24"/>
          <w:szCs w:val="24"/>
        </w:rPr>
        <w:t>Сайдакского</w:t>
      </w:r>
      <w:proofErr w:type="spellEnd"/>
      <w:r w:rsidR="00EA65B2" w:rsidRPr="00EA65B2">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сведений о доходах, </w:t>
      </w:r>
      <w:r w:rsidR="00D919BA" w:rsidRPr="00C036E5">
        <w:rPr>
          <w:rFonts w:ascii="Times New Roman" w:hAnsi="Times New Roman" w:cs="Times New Roman"/>
          <w:sz w:val="24"/>
          <w:szCs w:val="24"/>
        </w:rPr>
        <w:t>р</w:t>
      </w:r>
      <w:bookmarkStart w:id="0" w:name="_GoBack"/>
      <w:bookmarkEnd w:id="0"/>
      <w:r w:rsidR="00D919BA" w:rsidRPr="00C036E5">
        <w:rPr>
          <w:rFonts w:ascii="Times New Roman" w:hAnsi="Times New Roman" w:cs="Times New Roman"/>
          <w:sz w:val="24"/>
          <w:szCs w:val="24"/>
        </w:rPr>
        <w:t xml:space="preserve">асходах </w:t>
      </w:r>
      <w:r w:rsidR="00AE2608" w:rsidRPr="00C036E5">
        <w:rPr>
          <w:rFonts w:ascii="Times New Roman" w:hAnsi="Times New Roman" w:cs="Times New Roman"/>
          <w:sz w:val="24"/>
          <w:szCs w:val="24"/>
        </w:rPr>
        <w:t>об имуществе и обязательствах имущественного характера</w:t>
      </w:r>
      <w:r>
        <w:rPr>
          <w:rFonts w:ascii="Times New Roman" w:hAnsi="Times New Roman" w:cs="Times New Roman"/>
          <w:sz w:val="24"/>
          <w:szCs w:val="24"/>
        </w:rPr>
        <w:t xml:space="preserve"> (Приложение 1)</w:t>
      </w:r>
      <w:r w:rsidR="00AE2608" w:rsidRPr="00C036E5">
        <w:rPr>
          <w:rFonts w:ascii="Times New Roman" w:hAnsi="Times New Roman" w:cs="Times New Roman"/>
          <w:sz w:val="24"/>
          <w:szCs w:val="24"/>
        </w:rPr>
        <w:t>;</w:t>
      </w:r>
    </w:p>
    <w:p w:rsidR="00AE2608" w:rsidRPr="00C036E5" w:rsidRDefault="00C036E5" w:rsidP="006B72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6B725F" w:rsidRPr="00C036E5">
        <w:rPr>
          <w:rFonts w:ascii="Times New Roman" w:hAnsi="Times New Roman" w:cs="Times New Roman"/>
          <w:sz w:val="24"/>
          <w:szCs w:val="24"/>
        </w:rPr>
        <w:t>форму справки о доходах, расходах, об имуществе и обязательствах имущественного характера</w:t>
      </w:r>
      <w:r>
        <w:rPr>
          <w:rFonts w:ascii="Times New Roman" w:hAnsi="Times New Roman" w:cs="Times New Roman"/>
          <w:sz w:val="24"/>
          <w:szCs w:val="24"/>
        </w:rPr>
        <w:t xml:space="preserve"> (Приложение 2)</w:t>
      </w:r>
      <w:r w:rsidR="00AE2608" w:rsidRPr="00C036E5">
        <w:rPr>
          <w:rFonts w:ascii="Times New Roman" w:hAnsi="Times New Roman" w:cs="Times New Roman"/>
          <w:sz w:val="24"/>
          <w:szCs w:val="24"/>
        </w:rPr>
        <w:t>.</w:t>
      </w:r>
    </w:p>
    <w:p w:rsidR="00AE2608" w:rsidRPr="00C036E5" w:rsidRDefault="00AE2608"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2. Настоящее решение вступает в законную силу с момента </w:t>
      </w:r>
      <w:r w:rsidR="003C3317" w:rsidRPr="00C036E5">
        <w:rPr>
          <w:rFonts w:ascii="Times New Roman" w:hAnsi="Times New Roman" w:cs="Times New Roman"/>
          <w:sz w:val="24"/>
          <w:szCs w:val="24"/>
        </w:rPr>
        <w:t>подписания, подлежит размещению</w:t>
      </w:r>
      <w:r w:rsidRPr="00C036E5">
        <w:rPr>
          <w:rFonts w:ascii="Times New Roman" w:hAnsi="Times New Roman" w:cs="Times New Roman"/>
          <w:sz w:val="24"/>
          <w:szCs w:val="24"/>
        </w:rPr>
        <w:t xml:space="preserve"> текста на </w:t>
      </w:r>
      <w:r w:rsidR="00C036E5" w:rsidRPr="00C036E5">
        <w:rPr>
          <w:rFonts w:ascii="Times New Roman" w:hAnsi="Times New Roman" w:cs="Times New Roman"/>
          <w:sz w:val="24"/>
          <w:szCs w:val="24"/>
        </w:rPr>
        <w:t xml:space="preserve">Портале правовой информации Республики Татарстан, а также на </w:t>
      </w:r>
      <w:r w:rsidRPr="00C036E5">
        <w:rPr>
          <w:rFonts w:ascii="Times New Roman" w:hAnsi="Times New Roman" w:cs="Times New Roman"/>
          <w:sz w:val="24"/>
          <w:szCs w:val="24"/>
        </w:rPr>
        <w:t xml:space="preserve">официальном сайте </w:t>
      </w:r>
      <w:proofErr w:type="gramStart"/>
      <w:r w:rsidRPr="00C036E5">
        <w:rPr>
          <w:rFonts w:ascii="Times New Roman" w:hAnsi="Times New Roman" w:cs="Times New Roman"/>
          <w:sz w:val="24"/>
          <w:szCs w:val="24"/>
        </w:rPr>
        <w:t>района</w:t>
      </w:r>
      <w:proofErr w:type="gramEnd"/>
      <w:r w:rsidRPr="00C036E5">
        <w:rPr>
          <w:rFonts w:ascii="Times New Roman" w:hAnsi="Times New Roman" w:cs="Times New Roman"/>
          <w:sz w:val="24"/>
          <w:szCs w:val="24"/>
        </w:rPr>
        <w:t xml:space="preserve"> на Портале муниципальных образований </w:t>
      </w:r>
      <w:r w:rsidR="006B725F" w:rsidRPr="00C036E5">
        <w:rPr>
          <w:rFonts w:ascii="Times New Roman" w:hAnsi="Times New Roman" w:cs="Times New Roman"/>
          <w:sz w:val="24"/>
          <w:szCs w:val="24"/>
        </w:rPr>
        <w:t xml:space="preserve">в </w:t>
      </w:r>
      <w:r w:rsidRPr="00C036E5">
        <w:rPr>
          <w:rFonts w:ascii="Times New Roman" w:hAnsi="Times New Roman" w:cs="Times New Roman"/>
          <w:sz w:val="24"/>
          <w:szCs w:val="24"/>
        </w:rPr>
        <w:t xml:space="preserve">Буинском муниципальном районе в информационно-телекоммуникационной сети Интернет </w:t>
      </w:r>
      <w:r w:rsidR="000017F0" w:rsidRPr="00C036E5">
        <w:rPr>
          <w:rFonts w:ascii="Times New Roman" w:hAnsi="Times New Roman" w:cs="Times New Roman"/>
          <w:sz w:val="24"/>
          <w:szCs w:val="24"/>
        </w:rPr>
        <w:t xml:space="preserve">по адресу </w:t>
      </w:r>
      <w:hyperlink r:id="rId9" w:history="1">
        <w:r w:rsidR="000017F0" w:rsidRPr="00C036E5">
          <w:rPr>
            <w:rStyle w:val="a5"/>
            <w:rFonts w:ascii="Times New Roman" w:hAnsi="Times New Roman" w:cs="Times New Roman"/>
            <w:color w:val="auto"/>
            <w:sz w:val="24"/>
            <w:szCs w:val="24"/>
          </w:rPr>
          <w:t>http://Buinsk.tatarstan.ru</w:t>
        </w:r>
      </w:hyperlink>
      <w:r w:rsidRPr="00C036E5">
        <w:rPr>
          <w:rFonts w:ascii="Times New Roman" w:hAnsi="Times New Roman" w:cs="Times New Roman"/>
          <w:sz w:val="24"/>
          <w:szCs w:val="24"/>
        </w:rPr>
        <w:t xml:space="preserve">. </w:t>
      </w:r>
    </w:p>
    <w:p w:rsidR="00AE2608" w:rsidRPr="00C036E5" w:rsidRDefault="003C3317" w:rsidP="00C036E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3</w:t>
      </w:r>
      <w:r w:rsidR="00AE2608" w:rsidRPr="00C036E5">
        <w:rPr>
          <w:rFonts w:ascii="Times New Roman" w:hAnsi="Times New Roman" w:cs="Times New Roman"/>
          <w:sz w:val="24"/>
          <w:szCs w:val="24"/>
        </w:rPr>
        <w:t xml:space="preserve">. </w:t>
      </w:r>
      <w:proofErr w:type="gramStart"/>
      <w:r w:rsidR="00AE2608" w:rsidRPr="00C036E5">
        <w:rPr>
          <w:rFonts w:ascii="Times New Roman" w:hAnsi="Times New Roman" w:cs="Times New Roman"/>
          <w:sz w:val="24"/>
          <w:szCs w:val="24"/>
        </w:rPr>
        <w:t>Контроль за</w:t>
      </w:r>
      <w:proofErr w:type="gramEnd"/>
      <w:r w:rsidR="00AE2608" w:rsidRPr="00C036E5">
        <w:rPr>
          <w:rFonts w:ascii="Times New Roman" w:hAnsi="Times New Roman" w:cs="Times New Roman"/>
          <w:sz w:val="24"/>
          <w:szCs w:val="24"/>
        </w:rPr>
        <w:t xml:space="preserve"> исполнением настоящего </w:t>
      </w:r>
      <w:r w:rsidR="000017F0" w:rsidRPr="00C036E5">
        <w:rPr>
          <w:rFonts w:ascii="Times New Roman" w:hAnsi="Times New Roman" w:cs="Times New Roman"/>
          <w:sz w:val="24"/>
          <w:szCs w:val="24"/>
        </w:rPr>
        <w:t>Решения оставляю за собой</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4"/>
          <w:szCs w:val="24"/>
        </w:rPr>
      </w:pPr>
    </w:p>
    <w:p w:rsidR="003C3317" w:rsidRPr="00C036E5" w:rsidRDefault="00AE2608"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Глава </w:t>
      </w:r>
    </w:p>
    <w:p w:rsidR="00AE2608" w:rsidRPr="00C036E5" w:rsidRDefault="00EA65B2"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EA65B2">
        <w:rPr>
          <w:rFonts w:ascii="Times New Roman" w:hAnsi="Times New Roman" w:cs="Times New Roman"/>
          <w:b/>
          <w:sz w:val="24"/>
          <w:szCs w:val="24"/>
        </w:rPr>
        <w:t>Сорок-</w:t>
      </w:r>
      <w:proofErr w:type="spellStart"/>
      <w:r w:rsidRPr="00EA65B2">
        <w:rPr>
          <w:rFonts w:ascii="Times New Roman" w:hAnsi="Times New Roman" w:cs="Times New Roman"/>
          <w:b/>
          <w:sz w:val="24"/>
          <w:szCs w:val="24"/>
        </w:rPr>
        <w:t>Сайдакского</w:t>
      </w:r>
      <w:proofErr w:type="spellEnd"/>
      <w:r w:rsidRPr="00EA65B2">
        <w:rPr>
          <w:rFonts w:ascii="Times New Roman" w:hAnsi="Times New Roman" w:cs="Times New Roman"/>
          <w:b/>
          <w:sz w:val="24"/>
          <w:szCs w:val="24"/>
        </w:rPr>
        <w:t xml:space="preserve"> </w:t>
      </w:r>
      <w:r w:rsidR="003C3317" w:rsidRPr="00C036E5">
        <w:rPr>
          <w:rFonts w:ascii="Times New Roman" w:hAnsi="Times New Roman" w:cs="Times New Roman"/>
          <w:b/>
          <w:sz w:val="24"/>
          <w:szCs w:val="24"/>
        </w:rPr>
        <w:t>сельского поселения</w:t>
      </w:r>
    </w:p>
    <w:p w:rsidR="006B725F" w:rsidRDefault="003C3317"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Буинского </w:t>
      </w:r>
      <w:r w:rsidR="00AE2608" w:rsidRPr="00C036E5">
        <w:rPr>
          <w:rFonts w:ascii="Times New Roman" w:hAnsi="Times New Roman" w:cs="Times New Roman"/>
          <w:b/>
          <w:sz w:val="24"/>
          <w:szCs w:val="24"/>
        </w:rPr>
        <w:t xml:space="preserve">муниципального района </w:t>
      </w:r>
      <w:r w:rsidR="00562A77">
        <w:rPr>
          <w:rFonts w:ascii="Times New Roman" w:hAnsi="Times New Roman" w:cs="Times New Roman"/>
          <w:b/>
          <w:sz w:val="24"/>
          <w:szCs w:val="24"/>
        </w:rPr>
        <w:t xml:space="preserve">                               </w:t>
      </w:r>
      <w:r w:rsidR="00AE2608" w:rsidRPr="00C036E5">
        <w:rPr>
          <w:rFonts w:ascii="Times New Roman" w:hAnsi="Times New Roman" w:cs="Times New Roman"/>
          <w:b/>
          <w:sz w:val="24"/>
          <w:szCs w:val="24"/>
        </w:rPr>
        <w:t xml:space="preserve">   </w:t>
      </w:r>
      <w:r w:rsidR="00562A77">
        <w:rPr>
          <w:rFonts w:ascii="Times New Roman" w:hAnsi="Times New Roman" w:cs="Times New Roman"/>
          <w:b/>
          <w:sz w:val="24"/>
          <w:szCs w:val="24"/>
        </w:rPr>
        <w:t>В.</w:t>
      </w:r>
      <w:r w:rsidR="00EA65B2">
        <w:rPr>
          <w:rFonts w:ascii="Times New Roman" w:hAnsi="Times New Roman" w:cs="Times New Roman"/>
          <w:b/>
          <w:sz w:val="24"/>
          <w:szCs w:val="24"/>
        </w:rPr>
        <w:t xml:space="preserve">Ф. </w:t>
      </w:r>
      <w:proofErr w:type="spellStart"/>
      <w:r w:rsidR="00EA65B2">
        <w:rPr>
          <w:rFonts w:ascii="Times New Roman" w:hAnsi="Times New Roman" w:cs="Times New Roman"/>
          <w:b/>
          <w:sz w:val="24"/>
          <w:szCs w:val="24"/>
        </w:rPr>
        <w:t>Шагиева</w:t>
      </w:r>
      <w:proofErr w:type="spellEnd"/>
      <w:r w:rsidR="00562A77">
        <w:rPr>
          <w:rFonts w:ascii="Times New Roman" w:hAnsi="Times New Roman" w:cs="Times New Roman"/>
          <w:b/>
          <w:sz w:val="24"/>
          <w:szCs w:val="24"/>
        </w:rPr>
        <w:t xml:space="preserve"> </w:t>
      </w:r>
    </w:p>
    <w:p w:rsidR="00C036E5" w:rsidRPr="00C036E5" w:rsidRDefault="00C036E5"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p>
    <w:p w:rsidR="003C3317" w:rsidRPr="00C036E5" w:rsidRDefault="00C036E5" w:rsidP="00C036E5">
      <w:pPr>
        <w:widowControl w:val="0"/>
        <w:autoSpaceDE w:val="0"/>
        <w:autoSpaceDN w:val="0"/>
        <w:adjustRightInd w:val="0"/>
        <w:spacing w:after="0" w:line="240" w:lineRule="auto"/>
        <w:jc w:val="right"/>
        <w:rPr>
          <w:rFonts w:ascii="Times New Roman" w:hAnsi="Times New Roman" w:cs="Times New Roman"/>
          <w:sz w:val="24"/>
          <w:szCs w:val="24"/>
        </w:rPr>
      </w:pPr>
      <w:r w:rsidRPr="00C036E5">
        <w:rPr>
          <w:rFonts w:ascii="Times New Roman" w:hAnsi="Times New Roman" w:cs="Times New Roman"/>
          <w:sz w:val="24"/>
          <w:szCs w:val="24"/>
        </w:rPr>
        <w:lastRenderedPageBreak/>
        <w:t>Приложение 1</w:t>
      </w:r>
    </w:p>
    <w:p w:rsidR="00C036E5" w:rsidRDefault="00C036E5"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Утверждено</w:t>
      </w: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 xml:space="preserve">Решением Совета </w:t>
      </w:r>
    </w:p>
    <w:p w:rsidR="00AE2608" w:rsidRPr="00C036E5" w:rsidRDefault="00EA65B2"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EA65B2">
        <w:rPr>
          <w:rFonts w:ascii="Times New Roman" w:hAnsi="Times New Roman" w:cs="Times New Roman"/>
          <w:sz w:val="24"/>
          <w:szCs w:val="24"/>
        </w:rPr>
        <w:t>Сорок-</w:t>
      </w:r>
      <w:proofErr w:type="spellStart"/>
      <w:r w:rsidRPr="00EA65B2">
        <w:rPr>
          <w:rFonts w:ascii="Times New Roman" w:hAnsi="Times New Roman" w:cs="Times New Roman"/>
          <w:sz w:val="24"/>
          <w:szCs w:val="24"/>
        </w:rPr>
        <w:t>Сайдакского</w:t>
      </w:r>
      <w:proofErr w:type="spellEnd"/>
      <w:r w:rsidRPr="00EA65B2">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Буинского муниципального района</w:t>
      </w:r>
    </w:p>
    <w:p w:rsidR="00AE2608" w:rsidRPr="00C036E5" w:rsidRDefault="00562A7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от «17</w:t>
      </w:r>
      <w:r w:rsidR="002559A9" w:rsidRPr="00C036E5">
        <w:rPr>
          <w:rFonts w:ascii="Times New Roman" w:hAnsi="Times New Roman" w:cs="Times New Roman"/>
          <w:sz w:val="24"/>
          <w:szCs w:val="24"/>
        </w:rPr>
        <w:t xml:space="preserve">» </w:t>
      </w:r>
      <w:r>
        <w:rPr>
          <w:rFonts w:ascii="Times New Roman" w:hAnsi="Times New Roman" w:cs="Times New Roman"/>
          <w:sz w:val="24"/>
          <w:szCs w:val="24"/>
        </w:rPr>
        <w:t xml:space="preserve">августа </w:t>
      </w:r>
      <w:r w:rsidR="002559A9" w:rsidRPr="00C036E5">
        <w:rPr>
          <w:rFonts w:ascii="Times New Roman" w:hAnsi="Times New Roman" w:cs="Times New Roman"/>
          <w:sz w:val="24"/>
          <w:szCs w:val="24"/>
        </w:rPr>
        <w:t>2016</w:t>
      </w:r>
      <w:r>
        <w:rPr>
          <w:rFonts w:ascii="Times New Roman" w:hAnsi="Times New Roman" w:cs="Times New Roman"/>
          <w:sz w:val="24"/>
          <w:szCs w:val="24"/>
        </w:rPr>
        <w:t xml:space="preserve"> г. № 14-1</w:t>
      </w:r>
    </w:p>
    <w:p w:rsidR="00AE2608" w:rsidRPr="00C036E5"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Положение</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 представлении лицом, поступающим на должность</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руководителя муниципального учреждения</w:t>
      </w:r>
    </w:p>
    <w:p w:rsidR="00C036E5" w:rsidRDefault="00EA65B2" w:rsidP="00C036E5">
      <w:pPr>
        <w:widowControl w:val="0"/>
        <w:autoSpaceDE w:val="0"/>
        <w:autoSpaceDN w:val="0"/>
        <w:adjustRightInd w:val="0"/>
        <w:spacing w:after="0" w:line="240" w:lineRule="auto"/>
        <w:jc w:val="center"/>
        <w:rPr>
          <w:rFonts w:ascii="Times New Roman" w:hAnsi="Times New Roman" w:cs="Times New Roman"/>
          <w:sz w:val="26"/>
          <w:szCs w:val="26"/>
        </w:rPr>
      </w:pPr>
      <w:r w:rsidRPr="00EA65B2">
        <w:rPr>
          <w:rFonts w:ascii="Times New Roman" w:hAnsi="Times New Roman" w:cs="Times New Roman"/>
          <w:sz w:val="26"/>
          <w:szCs w:val="26"/>
        </w:rPr>
        <w:t>Сорок-</w:t>
      </w:r>
      <w:proofErr w:type="spellStart"/>
      <w:r w:rsidRPr="00EA65B2">
        <w:rPr>
          <w:rFonts w:ascii="Times New Roman" w:hAnsi="Times New Roman" w:cs="Times New Roman"/>
          <w:sz w:val="26"/>
          <w:szCs w:val="26"/>
        </w:rPr>
        <w:t>Сайдакского</w:t>
      </w:r>
      <w:proofErr w:type="spellEnd"/>
      <w:r w:rsidRPr="00EA65B2">
        <w:rPr>
          <w:rFonts w:ascii="Times New Roman" w:hAnsi="Times New Roman" w:cs="Times New Roman"/>
          <w:sz w:val="26"/>
          <w:szCs w:val="26"/>
        </w:rPr>
        <w:t xml:space="preserve"> </w:t>
      </w:r>
      <w:r w:rsidR="003C3317" w:rsidRPr="00C036E5">
        <w:rPr>
          <w:rFonts w:ascii="Times New Roman" w:hAnsi="Times New Roman" w:cs="Times New Roman"/>
          <w:sz w:val="26"/>
          <w:szCs w:val="26"/>
        </w:rPr>
        <w:t xml:space="preserve">сельского поселения </w:t>
      </w:r>
      <w:r w:rsidR="00AE2608" w:rsidRPr="00C036E5">
        <w:rPr>
          <w:rFonts w:ascii="Times New Roman" w:hAnsi="Times New Roman" w:cs="Times New Roman"/>
          <w:sz w:val="26"/>
          <w:szCs w:val="26"/>
        </w:rPr>
        <w:t xml:space="preserve">Буинского муниципального района РТ, </w:t>
      </w:r>
    </w:p>
    <w:p w:rsid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и руководителем муниципального</w:t>
      </w:r>
      <w:r w:rsidR="00562A77">
        <w:rPr>
          <w:rFonts w:ascii="Times New Roman" w:hAnsi="Times New Roman" w:cs="Times New Roman"/>
          <w:sz w:val="26"/>
          <w:szCs w:val="26"/>
        </w:rPr>
        <w:t xml:space="preserve"> </w:t>
      </w:r>
      <w:r w:rsidRPr="00C036E5">
        <w:rPr>
          <w:rFonts w:ascii="Times New Roman" w:hAnsi="Times New Roman" w:cs="Times New Roman"/>
          <w:sz w:val="26"/>
          <w:szCs w:val="26"/>
        </w:rPr>
        <w:t xml:space="preserve">учреждения </w:t>
      </w:r>
      <w:r w:rsidR="00EA65B2" w:rsidRPr="00EA65B2">
        <w:rPr>
          <w:rFonts w:ascii="Times New Roman" w:hAnsi="Times New Roman" w:cs="Times New Roman"/>
          <w:sz w:val="26"/>
          <w:szCs w:val="26"/>
        </w:rPr>
        <w:t>Сорок-</w:t>
      </w:r>
      <w:proofErr w:type="spellStart"/>
      <w:r w:rsidR="00EA65B2" w:rsidRPr="00EA65B2">
        <w:rPr>
          <w:rFonts w:ascii="Times New Roman" w:hAnsi="Times New Roman" w:cs="Times New Roman"/>
          <w:sz w:val="26"/>
          <w:szCs w:val="26"/>
        </w:rPr>
        <w:t>Сайдакского</w:t>
      </w:r>
      <w:proofErr w:type="spellEnd"/>
      <w:r w:rsidR="00EA65B2" w:rsidRPr="00EA65B2">
        <w:rPr>
          <w:rFonts w:ascii="Times New Roman" w:hAnsi="Times New Roman" w:cs="Times New Roman"/>
          <w:sz w:val="26"/>
          <w:szCs w:val="26"/>
        </w:rPr>
        <w:t xml:space="preserve"> </w:t>
      </w:r>
      <w:r w:rsidR="003C3317" w:rsidRPr="00C036E5">
        <w:rPr>
          <w:rFonts w:ascii="Times New Roman" w:hAnsi="Times New Roman" w:cs="Times New Roman"/>
          <w:sz w:val="26"/>
          <w:szCs w:val="26"/>
        </w:rPr>
        <w:t xml:space="preserve">сельского поселения </w:t>
      </w: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Буинского муниципального района РТ сведений о доходах,</w:t>
      </w:r>
      <w:r w:rsidR="00D919BA" w:rsidRPr="00C036E5">
        <w:rPr>
          <w:rFonts w:ascii="Times New Roman" w:hAnsi="Times New Roman" w:cs="Times New Roman"/>
          <w:sz w:val="26"/>
          <w:szCs w:val="26"/>
        </w:rPr>
        <w:t xml:space="preserve"> расходах</w:t>
      </w:r>
      <w:r w:rsidR="002007E4"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об имуществе и обязательствах имущественного характера</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 </w:t>
      </w:r>
      <w:proofErr w:type="gramStart"/>
      <w:r w:rsidRPr="00C036E5">
        <w:rPr>
          <w:rFonts w:ascii="Times New Roman" w:hAnsi="Times New Roman" w:cs="Times New Roman"/>
          <w:sz w:val="26"/>
          <w:szCs w:val="26"/>
        </w:rPr>
        <w:t xml:space="preserve">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принадлежащем им на праве собственности, и об их обязательствах имущественного характера, а также сведений о</w:t>
      </w:r>
      <w:proofErr w:type="gramEnd"/>
      <w:r w:rsidR="00EA65B2">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2. Сведения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представляются в исполнительный комитет Буинского муниципального района РТ:</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лицами, поступающими на должности руководителей муниципальных учреждений, - при поступлении на работу;</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руководителями муниципальных учреждений - ежегодно, не позднее 30 апреля года, следующего за </w:t>
      </w:r>
      <w:proofErr w:type="gramStart"/>
      <w:r w:rsidRPr="00C036E5">
        <w:rPr>
          <w:rFonts w:ascii="Times New Roman" w:hAnsi="Times New Roman" w:cs="Times New Roman"/>
          <w:sz w:val="26"/>
          <w:szCs w:val="26"/>
        </w:rPr>
        <w:t>отчетным</w:t>
      </w:r>
      <w:proofErr w:type="gramEnd"/>
      <w:r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3. </w:t>
      </w:r>
      <w:proofErr w:type="gramStart"/>
      <w:r w:rsidRPr="00C036E5">
        <w:rPr>
          <w:rFonts w:ascii="Times New Roman" w:hAnsi="Times New Roman" w:cs="Times New Roman"/>
          <w:sz w:val="26"/>
          <w:szCs w:val="26"/>
        </w:rPr>
        <w:t>Лицо, поступающее на должность руководителя муниципального учреждения, при поступлении на работу представляет сведения о доходах</w:t>
      </w:r>
      <w:r w:rsidR="002007E4" w:rsidRPr="00C036E5">
        <w:rPr>
          <w:rFonts w:ascii="Times New Roman" w:hAnsi="Times New Roman" w:cs="Times New Roman"/>
          <w:sz w:val="26"/>
          <w:szCs w:val="26"/>
        </w:rPr>
        <w:t xml:space="preserve">, </w:t>
      </w:r>
      <w:r w:rsidRPr="00C036E5">
        <w:rPr>
          <w:rFonts w:ascii="Times New Roman" w:hAnsi="Times New Roman" w:cs="Times New Roman"/>
          <w:sz w:val="26"/>
          <w:szCs w:val="26"/>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C036E5">
        <w:rPr>
          <w:rFonts w:ascii="Times New Roman" w:hAnsi="Times New Roman" w:cs="Times New Roman"/>
          <w:sz w:val="26"/>
          <w:szCs w:val="26"/>
        </w:rPr>
        <w:t xml:space="preserve">, расходах </w:t>
      </w:r>
      <w:r w:rsidRPr="00C036E5">
        <w:rPr>
          <w:rFonts w:ascii="Times New Roman" w:hAnsi="Times New Roman" w:cs="Times New Roman"/>
          <w:sz w:val="26"/>
          <w:szCs w:val="26"/>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w:t>
      </w:r>
      <w:proofErr w:type="gramEnd"/>
      <w:r w:rsidR="00EA65B2">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на</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доходах</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расходах</w:t>
      </w:r>
      <w:proofErr w:type="gramEnd"/>
      <w:r w:rsidRPr="00C036E5">
        <w:rPr>
          <w:rFonts w:ascii="Times New Roman" w:hAnsi="Times New Roman" w:cs="Times New Roman"/>
          <w:sz w:val="26"/>
          <w:szCs w:val="26"/>
        </w:rPr>
        <w:t xml:space="preserve">, об </w:t>
      </w:r>
      <w:r w:rsidRPr="00C036E5">
        <w:rPr>
          <w:rFonts w:ascii="Times New Roman" w:hAnsi="Times New Roman" w:cs="Times New Roman"/>
          <w:sz w:val="26"/>
          <w:szCs w:val="26"/>
        </w:rPr>
        <w:lastRenderedPageBreak/>
        <w:t>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4. </w:t>
      </w:r>
      <w:proofErr w:type="gramStart"/>
      <w:r w:rsidRPr="00C036E5">
        <w:rPr>
          <w:rFonts w:ascii="Times New Roman" w:hAnsi="Times New Roman" w:cs="Times New Roman"/>
          <w:sz w:val="26"/>
          <w:szCs w:val="26"/>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C036E5">
        <w:rPr>
          <w:rFonts w:ascii="Times New Roman" w:hAnsi="Times New Roman" w:cs="Times New Roman"/>
          <w:sz w:val="26"/>
          <w:szCs w:val="26"/>
        </w:rPr>
        <w:t xml:space="preserve"> расходах,</w:t>
      </w:r>
      <w:r w:rsidRPr="00C036E5">
        <w:rPr>
          <w:rFonts w:ascii="Times New Roman" w:hAnsi="Times New Roman" w:cs="Times New Roman"/>
          <w:sz w:val="26"/>
          <w:szCs w:val="26"/>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полученных за отчетный период (с 1 января по 31 декабря) от всех источников (включая заработную плату, пенсии, пособия и иные в</w:t>
      </w:r>
      <w:r w:rsidR="002007E4" w:rsidRPr="00C036E5">
        <w:rPr>
          <w:rFonts w:ascii="Times New Roman" w:hAnsi="Times New Roman" w:cs="Times New Roman"/>
          <w:sz w:val="26"/>
          <w:szCs w:val="26"/>
        </w:rPr>
        <w:t>ыплаты), расходах,</w:t>
      </w:r>
      <w:r w:rsidRPr="00C036E5">
        <w:rPr>
          <w:rFonts w:ascii="Times New Roman" w:hAnsi="Times New Roman" w:cs="Times New Roman"/>
          <w:sz w:val="26"/>
          <w:szCs w:val="26"/>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 июня 2014 года № 460 «Об утверждении формы</w:t>
      </w:r>
      <w:proofErr w:type="gramEnd"/>
      <w:r w:rsidRPr="00C036E5">
        <w:rPr>
          <w:rFonts w:ascii="Times New Roman" w:hAnsi="Times New Roman" w:cs="Times New Roman"/>
          <w:sz w:val="26"/>
          <w:szCs w:val="26"/>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5. В случае если руководитель муниципального учреждения обнаружил, что в представленных им сведениях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C036E5">
        <w:rPr>
          <w:rFonts w:ascii="Times New Roman" w:hAnsi="Times New Roman" w:cs="Times New Roman"/>
          <w:sz w:val="26"/>
          <w:szCs w:val="26"/>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6. </w:t>
      </w:r>
      <w:proofErr w:type="gramStart"/>
      <w:r w:rsidRPr="00C036E5">
        <w:rPr>
          <w:rFonts w:ascii="Times New Roman" w:hAnsi="Times New Roman" w:cs="Times New Roman"/>
          <w:sz w:val="26"/>
          <w:szCs w:val="26"/>
        </w:rPr>
        <w:t xml:space="preserve">Проверка достоверности и полноты сведений о доходах, </w:t>
      </w:r>
      <w:r w:rsidR="00584023" w:rsidRPr="00C036E5">
        <w:rPr>
          <w:rFonts w:ascii="Times New Roman" w:hAnsi="Times New Roman" w:cs="Times New Roman"/>
          <w:sz w:val="26"/>
          <w:szCs w:val="26"/>
        </w:rPr>
        <w:t xml:space="preserve">расходах, </w:t>
      </w:r>
      <w:r w:rsidRPr="00C036E5">
        <w:rPr>
          <w:rFonts w:ascii="Times New Roman" w:hAnsi="Times New Roman" w:cs="Times New Roman"/>
          <w:sz w:val="26"/>
          <w:szCs w:val="26"/>
        </w:rPr>
        <w:t>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w:t>
      </w:r>
      <w:r w:rsidR="00C036E5">
        <w:rPr>
          <w:rFonts w:ascii="Times New Roman" w:hAnsi="Times New Roman" w:cs="Times New Roman"/>
          <w:sz w:val="26"/>
          <w:szCs w:val="26"/>
        </w:rPr>
        <w:t xml:space="preserve">ешению Исполнительного комитета </w:t>
      </w:r>
      <w:r w:rsidRPr="00C036E5">
        <w:rPr>
          <w:rFonts w:ascii="Times New Roman" w:hAnsi="Times New Roman" w:cs="Times New Roman"/>
          <w:sz w:val="26"/>
          <w:szCs w:val="26"/>
        </w:rPr>
        <w:t>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 порядке, устанавливаемом</w:t>
      </w:r>
      <w:proofErr w:type="gramEnd"/>
      <w:r w:rsidRPr="00C036E5">
        <w:rPr>
          <w:rFonts w:ascii="Times New Roman" w:hAnsi="Times New Roman" w:cs="Times New Roman"/>
          <w:sz w:val="26"/>
          <w:szCs w:val="26"/>
        </w:rPr>
        <w:t xml:space="preserve"> нормативными правовыми актами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7.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8. Должностные лица учредителя, в должностные обязанности которых входит работа со сведениями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9.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10. В случае если лицо, представившее в соответствии с настоящим Положением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 xml:space="preserve">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w:t>
      </w:r>
      <w:r w:rsidRPr="00C036E5">
        <w:rPr>
          <w:rFonts w:ascii="Times New Roman" w:hAnsi="Times New Roman" w:cs="Times New Roman"/>
          <w:sz w:val="26"/>
          <w:szCs w:val="26"/>
        </w:rPr>
        <w:lastRenderedPageBreak/>
        <w:t>документами, а при отсутствии письменного заявления подлежат уничтожению.</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11. Непредставление либо представление заведомо недостоверных или неполных сведений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12. Непредставление либо представление неполных или недостоверных сведений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EA65B2">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Pr="00C036E5" w:rsidRDefault="00567C79" w:rsidP="00FD6E50">
      <w:pPr>
        <w:widowControl w:val="0"/>
        <w:autoSpaceDE w:val="0"/>
        <w:autoSpaceDN w:val="0"/>
        <w:adjustRightInd w:val="0"/>
        <w:spacing w:after="0" w:line="240" w:lineRule="auto"/>
        <w:jc w:val="both"/>
        <w:outlineLvl w:val="0"/>
        <w:rPr>
          <w:rFonts w:ascii="Times New Roman" w:hAnsi="Times New Roman" w:cs="Times New Roman"/>
          <w:sz w:val="26"/>
          <w:szCs w:val="26"/>
        </w:rPr>
      </w:pPr>
      <w:bookmarkStart w:id="1" w:name="Par72"/>
      <w:bookmarkEnd w:id="1"/>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2559A9">
      <w:pPr>
        <w:widowControl w:val="0"/>
        <w:autoSpaceDE w:val="0"/>
        <w:autoSpaceDN w:val="0"/>
        <w:adjustRightInd w:val="0"/>
        <w:spacing w:after="0" w:line="240" w:lineRule="auto"/>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Утверждена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Указом Президента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Российской Федерации</w:t>
      </w:r>
    </w:p>
    <w:p w:rsidR="00FD6E50"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от 23 июня 2014 г. №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N </w:t>
            </w:r>
            <w:proofErr w:type="gramStart"/>
            <w:r w:rsidRPr="00FD6E50">
              <w:rPr>
                <w:rFonts w:ascii="Calibri" w:hAnsi="Calibri" w:cs="Calibri"/>
              </w:rPr>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ценной 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Общая 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10"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1"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lastRenderedPageBreak/>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3A2CB9">
      <w:footerReference w:type="default" r:id="rId12"/>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C2" w:rsidRDefault="007C40C2" w:rsidP="00704EF0">
      <w:pPr>
        <w:spacing w:after="0" w:line="240" w:lineRule="auto"/>
      </w:pPr>
      <w:r>
        <w:separator/>
      </w:r>
    </w:p>
  </w:endnote>
  <w:endnote w:type="continuationSeparator" w:id="0">
    <w:p w:rsidR="007C40C2" w:rsidRDefault="007C40C2" w:rsidP="0070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58938"/>
      <w:docPartObj>
        <w:docPartGallery w:val="Page Numbers (Bottom of Page)"/>
        <w:docPartUnique/>
      </w:docPartObj>
    </w:sdtPr>
    <w:sdtEndPr>
      <w:rPr>
        <w:rFonts w:ascii="Times New Roman" w:hAnsi="Times New Roman" w:cs="Times New Roman"/>
        <w:sz w:val="18"/>
        <w:szCs w:val="18"/>
      </w:rPr>
    </w:sdtEndPr>
    <w:sdtContent>
      <w:p w:rsidR="00562A77" w:rsidRPr="003A2CB9" w:rsidRDefault="00562A77">
        <w:pPr>
          <w:pStyle w:val="a8"/>
          <w:jc w:val="right"/>
          <w:rPr>
            <w:rFonts w:ascii="Times New Roman" w:hAnsi="Times New Roman" w:cs="Times New Roman"/>
            <w:sz w:val="18"/>
            <w:szCs w:val="18"/>
          </w:rPr>
        </w:pPr>
        <w:r w:rsidRPr="003A2CB9">
          <w:rPr>
            <w:rFonts w:ascii="Times New Roman" w:hAnsi="Times New Roman" w:cs="Times New Roman"/>
            <w:sz w:val="18"/>
            <w:szCs w:val="18"/>
          </w:rPr>
          <w:fldChar w:fldCharType="begin"/>
        </w:r>
        <w:r w:rsidRPr="003A2CB9">
          <w:rPr>
            <w:rFonts w:ascii="Times New Roman" w:hAnsi="Times New Roman" w:cs="Times New Roman"/>
            <w:sz w:val="18"/>
            <w:szCs w:val="18"/>
          </w:rPr>
          <w:instrText>PAGE   \* MERGEFORMAT</w:instrText>
        </w:r>
        <w:r w:rsidRPr="003A2CB9">
          <w:rPr>
            <w:rFonts w:ascii="Times New Roman" w:hAnsi="Times New Roman" w:cs="Times New Roman"/>
            <w:sz w:val="18"/>
            <w:szCs w:val="18"/>
          </w:rPr>
          <w:fldChar w:fldCharType="separate"/>
        </w:r>
        <w:r w:rsidR="00EA65B2">
          <w:rPr>
            <w:rFonts w:ascii="Times New Roman" w:hAnsi="Times New Roman" w:cs="Times New Roman"/>
            <w:noProof/>
            <w:sz w:val="18"/>
            <w:szCs w:val="18"/>
          </w:rPr>
          <w:t>2</w:t>
        </w:r>
        <w:r w:rsidRPr="003A2CB9">
          <w:rPr>
            <w:rFonts w:ascii="Times New Roman" w:hAnsi="Times New Roman" w:cs="Times New Roman"/>
            <w:sz w:val="18"/>
            <w:szCs w:val="18"/>
          </w:rPr>
          <w:fldChar w:fldCharType="end"/>
        </w:r>
      </w:p>
    </w:sdtContent>
  </w:sdt>
  <w:p w:rsidR="00562A77" w:rsidRDefault="00562A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C2" w:rsidRDefault="007C40C2" w:rsidP="00704EF0">
      <w:pPr>
        <w:spacing w:after="0" w:line="240" w:lineRule="auto"/>
      </w:pPr>
      <w:r>
        <w:separator/>
      </w:r>
    </w:p>
  </w:footnote>
  <w:footnote w:type="continuationSeparator" w:id="0">
    <w:p w:rsidR="007C40C2" w:rsidRDefault="007C40C2" w:rsidP="00704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2608"/>
    <w:rsid w:val="000017F0"/>
    <w:rsid w:val="00107759"/>
    <w:rsid w:val="001D519B"/>
    <w:rsid w:val="002007E4"/>
    <w:rsid w:val="0024209F"/>
    <w:rsid w:val="002559A9"/>
    <w:rsid w:val="0026251C"/>
    <w:rsid w:val="002A58C7"/>
    <w:rsid w:val="003A2CB9"/>
    <w:rsid w:val="003C3317"/>
    <w:rsid w:val="004039FD"/>
    <w:rsid w:val="004332F7"/>
    <w:rsid w:val="00465535"/>
    <w:rsid w:val="00471B6C"/>
    <w:rsid w:val="004F40D8"/>
    <w:rsid w:val="0052116F"/>
    <w:rsid w:val="00562A77"/>
    <w:rsid w:val="00567C79"/>
    <w:rsid w:val="00584023"/>
    <w:rsid w:val="00641DDD"/>
    <w:rsid w:val="00655E01"/>
    <w:rsid w:val="00682E13"/>
    <w:rsid w:val="006B725F"/>
    <w:rsid w:val="00704EF0"/>
    <w:rsid w:val="007C40C2"/>
    <w:rsid w:val="008D04E7"/>
    <w:rsid w:val="00965882"/>
    <w:rsid w:val="009C2CFC"/>
    <w:rsid w:val="009D4228"/>
    <w:rsid w:val="00A4016C"/>
    <w:rsid w:val="00AE2608"/>
    <w:rsid w:val="00B02F9C"/>
    <w:rsid w:val="00BA688A"/>
    <w:rsid w:val="00C036E5"/>
    <w:rsid w:val="00D919BA"/>
    <w:rsid w:val="00EA65B2"/>
    <w:rsid w:val="00EE7031"/>
    <w:rsid w:val="00F1600D"/>
    <w:rsid w:val="00FD6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9D66C3F4A83C63EC753DE50E4A353881BC4837167BD888E8D18727E5477A1BDA581EB9147C692x5pDL" TargetMode="External"/><Relationship Id="rId5" Type="http://schemas.openxmlformats.org/officeDocument/2006/relationships/webSettings" Target="webSettings.xml"/><Relationship Id="rId10" Type="http://schemas.openxmlformats.org/officeDocument/2006/relationships/hyperlink" Target="consultantplus://offline/ref=54F9D66C3F4A83C63EC753DE50E4A353881BC4837660BD888E8D18727E5477A1BDA581EB9147C693x5pAL" TargetMode="External"/><Relationship Id="rId4" Type="http://schemas.openxmlformats.org/officeDocument/2006/relationships/settings" Target="settings.xml"/><Relationship Id="rId9" Type="http://schemas.openxmlformats.org/officeDocument/2006/relationships/hyperlink" Target="http://Buinsk.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CEDB-8D43-4DCD-AF1D-18A5E04D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5</cp:revision>
  <cp:lastPrinted>2016-08-17T10:55:00Z</cp:lastPrinted>
  <dcterms:created xsi:type="dcterms:W3CDTF">2016-08-17T11:03:00Z</dcterms:created>
  <dcterms:modified xsi:type="dcterms:W3CDTF">2016-08-19T12:20:00Z</dcterms:modified>
</cp:coreProperties>
</file>