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4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597"/>
      </w:tblGrid>
      <w:tr w:rsidR="00202009" w:rsidRPr="00A9608B" w:rsidTr="00202009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 РАЙОН</w:t>
            </w:r>
          </w:p>
          <w:p w:rsidR="00202009" w:rsidRPr="00A9608B" w:rsidRDefault="00202009" w:rsidP="005B684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  <w:r w:rsidR="00C579C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>СТАРОСТУДЕНЕЦКОГО</w:t>
            </w:r>
            <w:r w:rsidR="00AB3B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 xml:space="preserve"> </w:t>
            </w: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1360" cy="9017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202009" w:rsidRPr="00A9608B" w:rsidRDefault="00202009" w:rsidP="0020200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111B1B" w:rsidRDefault="00C579C6" w:rsidP="00111B1B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gramStart"/>
            <w:r w:rsidRPr="00C579C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ИСКЕ</w:t>
            </w:r>
            <w:proofErr w:type="gramEnd"/>
            <w:r w:rsidRPr="00C579C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СУЫКСУ</w:t>
            </w:r>
            <w:r w:rsidR="009826B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АВЫЛ </w:t>
            </w:r>
          </w:p>
          <w:p w:rsidR="00202009" w:rsidRPr="00053D79" w:rsidRDefault="00202009" w:rsidP="00111B1B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ЖИРЛЕГЕ СОВЕТЫ</w:t>
            </w:r>
          </w:p>
        </w:tc>
      </w:tr>
      <w:tr w:rsidR="00202009" w:rsidRPr="00A9608B" w:rsidTr="00202009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202009" w:rsidRPr="00A9608B" w:rsidRDefault="00202009" w:rsidP="0020200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02009" w:rsidRPr="00A9608B" w:rsidTr="00202009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РЕШЕНИЕ</w:t>
            </w:r>
          </w:p>
          <w:p w:rsidR="00202009" w:rsidRPr="00A9608B" w:rsidRDefault="00202009" w:rsidP="00202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2009" w:rsidRPr="00A9608B" w:rsidRDefault="008C54C0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199.55pt;margin-top:9.7pt;width:99.9pt;height:17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<v:textbox inset="0,0,0,0">
                    <w:txbxContent>
                      <w:p w:rsidR="00202009" w:rsidRPr="00DA2C74" w:rsidRDefault="00202009" w:rsidP="00202009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02009" w:rsidRPr="00A9608B" w:rsidRDefault="00202009" w:rsidP="00C5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C5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Pr="00134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C5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</w:t>
            </w:r>
            <w:r w:rsidRPr="00134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201</w:t>
            </w:r>
            <w:r w:rsidR="00C5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  <w:r w:rsidRPr="00134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02009" w:rsidRPr="00A9608B" w:rsidRDefault="00202009" w:rsidP="00F0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 w:rsidR="00C579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  <w:r w:rsidR="00F011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  <w:r w:rsidR="00851FF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="00F011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</w:tr>
    </w:tbl>
    <w:p w:rsidR="00A9608B" w:rsidRDefault="00A9608B" w:rsidP="00A9608B"/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«Об утверждении Положения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о сообщении отдельными категориями лиц о получении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подарка в связи с протокольными мероприятиями, служебными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командировками и другими официальными мероприятиями,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proofErr w:type="gramStart"/>
      <w:r w:rsidRPr="00134A7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34A78">
        <w:rPr>
          <w:rFonts w:ascii="Times New Roman" w:hAnsi="Times New Roman" w:cs="Times New Roman"/>
          <w:b/>
          <w:sz w:val="28"/>
          <w:szCs w:val="28"/>
        </w:rPr>
        <w:t xml:space="preserve"> которых связано с исполнением ими служебных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(должностных) обязанностей, сдаче и оценке подарка,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реализации (выкупе) и зачислении средств,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b/>
          <w:sz w:val="28"/>
          <w:szCs w:val="28"/>
        </w:rPr>
        <w:t>вырученных</w:t>
      </w:r>
      <w:proofErr w:type="gramEnd"/>
      <w:r w:rsidRPr="00134A78">
        <w:rPr>
          <w:rFonts w:ascii="Times New Roman" w:hAnsi="Times New Roman" w:cs="Times New Roman"/>
          <w:b/>
          <w:sz w:val="28"/>
          <w:szCs w:val="28"/>
        </w:rPr>
        <w:t xml:space="preserve"> от его реализации»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9 января 2014 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Распоряжением Президента Республики Татарстан от 27 января 2014 года № 94 «О порядке сообщения</w:t>
      </w:r>
      <w:proofErr w:type="gramEnd"/>
      <w:r w:rsidRPr="00134A78">
        <w:rPr>
          <w:rFonts w:ascii="Times New Roman" w:hAnsi="Times New Roman" w:cs="Times New Roman"/>
          <w:sz w:val="28"/>
          <w:szCs w:val="28"/>
        </w:rPr>
        <w:t xml:space="preserve">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(в </w:t>
      </w:r>
      <w:proofErr w:type="spellStart"/>
      <w:r w:rsidRPr="00134A78">
        <w:rPr>
          <w:rFonts w:ascii="Times New Roman" w:hAnsi="Times New Roman" w:cs="Times New Roman"/>
          <w:sz w:val="28"/>
          <w:szCs w:val="28"/>
        </w:rPr>
        <w:t>редакции</w:t>
      </w:r>
      <w:r w:rsidR="00FA42F1" w:rsidRPr="00FA42F1">
        <w:rPr>
          <w:rFonts w:ascii="Times New Roman" w:hAnsi="Times New Roman" w:cs="Times New Roman"/>
          <w:sz w:val="28"/>
          <w:szCs w:val="28"/>
        </w:rPr>
        <w:t>Постановления</w:t>
      </w:r>
      <w:proofErr w:type="spellEnd"/>
      <w:r w:rsidR="00FA42F1" w:rsidRPr="00FA42F1">
        <w:rPr>
          <w:rFonts w:ascii="Times New Roman" w:hAnsi="Times New Roman" w:cs="Times New Roman"/>
          <w:sz w:val="28"/>
          <w:szCs w:val="28"/>
        </w:rPr>
        <w:t xml:space="preserve"> </w:t>
      </w:r>
      <w:r w:rsidR="00FA42F1">
        <w:rPr>
          <w:rFonts w:ascii="Times New Roman" w:hAnsi="Times New Roman" w:cs="Times New Roman"/>
          <w:sz w:val="28"/>
          <w:szCs w:val="28"/>
        </w:rPr>
        <w:t>Правительства РФ от 12.10.2015г. №</w:t>
      </w:r>
      <w:r w:rsidR="00FA42F1" w:rsidRPr="00FA42F1">
        <w:rPr>
          <w:rFonts w:ascii="Times New Roman" w:hAnsi="Times New Roman" w:cs="Times New Roman"/>
          <w:sz w:val="28"/>
          <w:szCs w:val="28"/>
        </w:rPr>
        <w:t xml:space="preserve"> 1089</w:t>
      </w:r>
      <w:r w:rsidR="00FA42F1">
        <w:rPr>
          <w:rFonts w:ascii="Times New Roman" w:hAnsi="Times New Roman" w:cs="Times New Roman"/>
          <w:sz w:val="28"/>
          <w:szCs w:val="28"/>
        </w:rPr>
        <w:t>)</w:t>
      </w:r>
      <w:r w:rsidRPr="00134A78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r w:rsidR="00AB3B3D">
        <w:rPr>
          <w:rFonts w:ascii="Times New Roman" w:hAnsi="Times New Roman" w:cs="Times New Roman"/>
          <w:sz w:val="28"/>
          <w:szCs w:val="28"/>
        </w:rPr>
        <w:t xml:space="preserve"> </w:t>
      </w:r>
      <w:r w:rsidRPr="00134A7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9608B" w:rsidRPr="00134A78" w:rsidRDefault="00A9608B" w:rsidP="0013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08B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>1. Утвердить Положение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(Приложение №1).</w:t>
      </w:r>
    </w:p>
    <w:p w:rsidR="00BB2110" w:rsidRDefault="00BB2110" w:rsidP="00BB2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Решение </w:t>
      </w:r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r w:rsidR="00AB3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поседения от </w:t>
      </w:r>
      <w:r w:rsidR="00C579C6">
        <w:rPr>
          <w:rFonts w:ascii="Times New Roman" w:hAnsi="Times New Roman" w:cs="Times New Roman"/>
          <w:sz w:val="28"/>
          <w:szCs w:val="28"/>
          <w:lang w:val="tt-RU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.03.2014г. № </w:t>
      </w:r>
      <w:r w:rsidR="00454D91">
        <w:rPr>
          <w:rFonts w:ascii="Times New Roman" w:hAnsi="Times New Roman" w:cs="Times New Roman"/>
          <w:sz w:val="28"/>
          <w:szCs w:val="28"/>
        </w:rPr>
        <w:t>1-</w:t>
      </w:r>
      <w:r w:rsidR="00C579C6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2110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BB2110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BB2110">
        <w:rPr>
          <w:rFonts w:ascii="Times New Roman" w:hAnsi="Times New Roman" w:cs="Times New Roman"/>
          <w:sz w:val="28"/>
          <w:szCs w:val="28"/>
        </w:rPr>
        <w:t xml:space="preserve"> о сообщении лицами, замещ</w:t>
      </w:r>
      <w:r>
        <w:rPr>
          <w:rFonts w:ascii="Times New Roman" w:hAnsi="Times New Roman" w:cs="Times New Roman"/>
          <w:sz w:val="28"/>
          <w:szCs w:val="28"/>
        </w:rPr>
        <w:t xml:space="preserve">ающими муниципальные должности, </w:t>
      </w:r>
      <w:r w:rsidRPr="00BB2110">
        <w:rPr>
          <w:rFonts w:ascii="Times New Roman" w:hAnsi="Times New Roman" w:cs="Times New Roman"/>
          <w:sz w:val="28"/>
          <w:szCs w:val="28"/>
        </w:rPr>
        <w:t xml:space="preserve">и муниципальными служащими </w:t>
      </w:r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r w:rsidR="00AB3B3D">
        <w:rPr>
          <w:rFonts w:ascii="Times New Roman" w:hAnsi="Times New Roman" w:cs="Times New Roman"/>
          <w:sz w:val="28"/>
          <w:szCs w:val="28"/>
        </w:rPr>
        <w:t xml:space="preserve"> </w:t>
      </w:r>
      <w:r w:rsidRPr="00BB211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B3B3D">
        <w:rPr>
          <w:rFonts w:ascii="Times New Roman" w:hAnsi="Times New Roman" w:cs="Times New Roman"/>
          <w:sz w:val="28"/>
          <w:szCs w:val="28"/>
        </w:rPr>
        <w:t xml:space="preserve"> </w:t>
      </w:r>
      <w:r w:rsidRPr="00BB2110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BB2110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Татарстан о получении </w:t>
      </w:r>
      <w:r w:rsidRPr="00BB2110">
        <w:rPr>
          <w:rFonts w:ascii="Times New Roman" w:hAnsi="Times New Roman" w:cs="Times New Roman"/>
          <w:sz w:val="28"/>
          <w:szCs w:val="28"/>
        </w:rPr>
        <w:t>подарка в связи с их должностным</w:t>
      </w:r>
      <w:r>
        <w:rPr>
          <w:rFonts w:ascii="Times New Roman" w:hAnsi="Times New Roman" w:cs="Times New Roman"/>
          <w:sz w:val="28"/>
          <w:szCs w:val="28"/>
        </w:rPr>
        <w:t xml:space="preserve"> положением или исполнением ими </w:t>
      </w:r>
      <w:r w:rsidRPr="00BB2110">
        <w:rPr>
          <w:rFonts w:ascii="Times New Roman" w:hAnsi="Times New Roman" w:cs="Times New Roman"/>
          <w:sz w:val="28"/>
          <w:szCs w:val="28"/>
        </w:rPr>
        <w:t>служебных (должностных) обязан</w:t>
      </w:r>
      <w:r>
        <w:rPr>
          <w:rFonts w:ascii="Times New Roman" w:hAnsi="Times New Roman" w:cs="Times New Roman"/>
          <w:sz w:val="28"/>
          <w:szCs w:val="28"/>
        </w:rPr>
        <w:t xml:space="preserve">ностей, сдачи и оценки подарка, </w:t>
      </w:r>
      <w:r w:rsidRPr="00BB2110">
        <w:rPr>
          <w:rFonts w:ascii="Times New Roman" w:hAnsi="Times New Roman" w:cs="Times New Roman"/>
          <w:sz w:val="28"/>
          <w:szCs w:val="28"/>
        </w:rPr>
        <w:t>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A9608B" w:rsidRPr="00134A78" w:rsidRDefault="00BB211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608B" w:rsidRPr="00134A78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подписания и подлежит опубликованию на Официальном портале правовой информации Республики Татарстан (http://pravo.tatarstan.ru),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A9608B" w:rsidRPr="00134A78" w:rsidRDefault="00BB211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608B" w:rsidRPr="00134A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9608B" w:rsidRPr="00134A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9608B" w:rsidRPr="00134A7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A9608B" w:rsidRPr="00134A78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0D3" w:rsidRPr="005760D3" w:rsidRDefault="005760D3" w:rsidP="005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0D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</w:p>
    <w:p w:rsidR="00495173" w:rsidRDefault="005760D3" w:rsidP="005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0D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</w:t>
      </w:r>
    </w:p>
    <w:p w:rsidR="00D33130" w:rsidRDefault="005760D3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                        </w:t>
      </w:r>
      <w:r w:rsidR="00C579C6" w:rsidRPr="00C579C6">
        <w:rPr>
          <w:rFonts w:ascii="Times New Roman" w:hAnsi="Times New Roman" w:cs="Times New Roman"/>
          <w:sz w:val="28"/>
          <w:szCs w:val="28"/>
        </w:rPr>
        <w:t>Р.Ф.</w:t>
      </w:r>
      <w:r w:rsidR="001D2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79C6" w:rsidRPr="00C579C6">
        <w:rPr>
          <w:rFonts w:ascii="Times New Roman" w:hAnsi="Times New Roman" w:cs="Times New Roman"/>
          <w:sz w:val="28"/>
          <w:szCs w:val="28"/>
        </w:rPr>
        <w:t>Загидуллина</w:t>
      </w:r>
      <w:proofErr w:type="spellEnd"/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2009" w:rsidRDefault="00202009" w:rsidP="00BB2110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387C43" w:rsidRDefault="00387C43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tt-RU"/>
        </w:rPr>
      </w:pPr>
    </w:p>
    <w:p w:rsidR="00387C43" w:rsidRDefault="00387C43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tt-RU"/>
        </w:rPr>
      </w:pPr>
    </w:p>
    <w:p w:rsidR="00E45B09" w:rsidRDefault="00E45B09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tt-RU"/>
        </w:rPr>
      </w:pPr>
    </w:p>
    <w:p w:rsidR="005760D3" w:rsidRDefault="005760D3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lastRenderedPageBreak/>
        <w:t>Приложение</w:t>
      </w:r>
      <w:r w:rsidR="00202009">
        <w:rPr>
          <w:rFonts w:ascii="Times New Roman" w:hAnsi="Times New Roman" w:cs="Times New Roman"/>
        </w:rPr>
        <w:t xml:space="preserve"> № 1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 xml:space="preserve">к Решению </w:t>
      </w:r>
      <w:r w:rsidR="00C579C6">
        <w:rPr>
          <w:rFonts w:ascii="Times New Roman" w:hAnsi="Times New Roman" w:cs="Times New Roman"/>
        </w:rPr>
        <w:t>Старостуденецкого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сельского поселения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Буинского муниципального района</w:t>
      </w:r>
    </w:p>
    <w:p w:rsidR="00D33130" w:rsidRPr="00D33130" w:rsidRDefault="001D2E19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33130" w:rsidRPr="00D33130">
        <w:rPr>
          <w:rFonts w:ascii="Times New Roman" w:hAnsi="Times New Roman" w:cs="Times New Roman"/>
        </w:rPr>
        <w:t>т «</w:t>
      </w:r>
      <w:r>
        <w:rPr>
          <w:rFonts w:ascii="Times New Roman" w:hAnsi="Times New Roman" w:cs="Times New Roman"/>
          <w:u w:val="single"/>
        </w:rPr>
        <w:t>31</w:t>
      </w:r>
      <w:r w:rsidR="00D33130" w:rsidRPr="00D33130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u w:val="single"/>
        </w:rPr>
        <w:t>янва</w:t>
      </w:r>
      <w:r w:rsidR="00D33130" w:rsidRPr="00D33130">
        <w:rPr>
          <w:rFonts w:ascii="Times New Roman" w:hAnsi="Times New Roman" w:cs="Times New Roman"/>
          <w:u w:val="single"/>
        </w:rPr>
        <w:t>ря</w:t>
      </w:r>
      <w:r>
        <w:rPr>
          <w:rFonts w:ascii="Times New Roman" w:hAnsi="Times New Roman" w:cs="Times New Roman"/>
        </w:rPr>
        <w:t xml:space="preserve"> 2017</w:t>
      </w:r>
      <w:r w:rsidR="00D33130" w:rsidRPr="00D33130">
        <w:rPr>
          <w:rFonts w:ascii="Times New Roman" w:hAnsi="Times New Roman" w:cs="Times New Roman"/>
        </w:rPr>
        <w:t xml:space="preserve">г. № </w:t>
      </w:r>
      <w:r>
        <w:rPr>
          <w:rFonts w:ascii="Times New Roman" w:hAnsi="Times New Roman" w:cs="Times New Roman"/>
          <w:u w:val="single"/>
        </w:rPr>
        <w:t>27-2</w:t>
      </w:r>
    </w:p>
    <w:p w:rsidR="00D33130" w:rsidRDefault="00D33130" w:rsidP="00D33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о сообщении отдельными категориями лиц о получении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подарка в связи с протокольными мероприятиями, служебными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командировками и другими официальными мероприятиями,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proofErr w:type="gramStart"/>
      <w:r w:rsidRPr="00D3313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33130">
        <w:rPr>
          <w:rFonts w:ascii="Times New Roman" w:hAnsi="Times New Roman" w:cs="Times New Roman"/>
          <w:b/>
          <w:sz w:val="28"/>
          <w:szCs w:val="28"/>
        </w:rPr>
        <w:t xml:space="preserve"> которых связано с исполнением ими служебных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(должностных) обязанностей, сдаче и оценке подарка,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реализации (выкупе) и зачислении средств,</w:t>
      </w:r>
    </w:p>
    <w:p w:rsid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3130">
        <w:rPr>
          <w:rFonts w:ascii="Times New Roman" w:hAnsi="Times New Roman" w:cs="Times New Roman"/>
          <w:b/>
          <w:sz w:val="28"/>
          <w:szCs w:val="28"/>
        </w:rPr>
        <w:t>вырученных</w:t>
      </w:r>
      <w:proofErr w:type="gramEnd"/>
      <w:r w:rsidRPr="00D33130">
        <w:rPr>
          <w:rFonts w:ascii="Times New Roman" w:hAnsi="Times New Roman" w:cs="Times New Roman"/>
          <w:b/>
          <w:sz w:val="28"/>
          <w:szCs w:val="28"/>
        </w:rPr>
        <w:t xml:space="preserve"> от его реализации</w:t>
      </w:r>
    </w:p>
    <w:p w:rsidR="00FA42F1" w:rsidRDefault="00FA42F1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85980" w:rsidRPr="008C1811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сообщения 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r w:rsidR="001D2E19">
        <w:rPr>
          <w:rFonts w:ascii="Times New Roman" w:hAnsi="Times New Roman" w:cs="Times New Roman"/>
          <w:sz w:val="28"/>
          <w:szCs w:val="28"/>
        </w:rPr>
        <w:t xml:space="preserve"> </w:t>
      </w:r>
      <w:r w:rsidR="00A85980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района, </w:t>
      </w:r>
      <w:r w:rsidRPr="008C1811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(выкупа) и зачисления средств, вырученных от его реализации.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2. Для целей настоящего </w:t>
      </w:r>
      <w:r w:rsidR="00A85980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 используются следующие понятия: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</w:t>
      </w:r>
      <w:r w:rsidR="00A85980" w:rsidRPr="008C1811">
        <w:rPr>
          <w:rFonts w:ascii="Times New Roman" w:hAnsi="Times New Roman" w:cs="Times New Roman"/>
          <w:sz w:val="28"/>
          <w:szCs w:val="28"/>
        </w:rPr>
        <w:t>выборными должностными лицами, лицами, замещающими муниципальные должности и должности муниципальной службы в органах местного самоуправления</w:t>
      </w:r>
      <w:r w:rsidR="001D2E19">
        <w:rPr>
          <w:rFonts w:ascii="Times New Roman" w:hAnsi="Times New Roman" w:cs="Times New Roman"/>
          <w:sz w:val="28"/>
          <w:szCs w:val="28"/>
        </w:rPr>
        <w:t xml:space="preserve"> </w:t>
      </w:r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r w:rsidR="001D2E19">
        <w:rPr>
          <w:rFonts w:ascii="Times New Roman" w:hAnsi="Times New Roman" w:cs="Times New Roman"/>
          <w:sz w:val="28"/>
          <w:szCs w:val="28"/>
        </w:rPr>
        <w:t xml:space="preserve"> </w:t>
      </w:r>
      <w:r w:rsidR="00A85980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</w:t>
      </w:r>
      <w:proofErr w:type="gramEnd"/>
      <w:r w:rsidR="001D2E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  <w:proofErr w:type="gramEnd"/>
    </w:p>
    <w:p w:rsidR="00FA42F1" w:rsidRPr="008C1811" w:rsidRDefault="00FA42F1" w:rsidP="00487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r w:rsidR="001D2E19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</w:t>
      </w:r>
      <w:r w:rsidRPr="008C1811">
        <w:rPr>
          <w:rFonts w:ascii="Times New Roman" w:hAnsi="Times New Roman" w:cs="Times New Roman"/>
          <w:sz w:val="28"/>
          <w:szCs w:val="28"/>
        </w:rPr>
        <w:lastRenderedPageBreak/>
        <w:t>регламентом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</w:t>
      </w:r>
      <w:r w:rsidR="00487A41" w:rsidRPr="008C1811">
        <w:rPr>
          <w:rFonts w:ascii="Times New Roman" w:hAnsi="Times New Roman" w:cs="Times New Roman"/>
          <w:sz w:val="28"/>
          <w:szCs w:val="28"/>
        </w:rPr>
        <w:t>вой деятельности указанных лиц.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r w:rsidR="001D2E19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с исполнением ими служебных (должностных) обязанностей.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r w:rsidR="001D2E19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обязаны в порядке, предусмотренном настоящим </w:t>
      </w:r>
      <w:r w:rsidR="00924977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 Комиссию по поступлению и выбытию активов</w:t>
      </w:r>
      <w:proofErr w:type="gramEnd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 в связи с получением выборными должностными лицами, лицами, замещающими муниципальные должности и должности муниципальной службы в органах местного самоуправления Буинского муниципального района</w:t>
      </w:r>
      <w:r w:rsidR="003E11C1" w:rsidRPr="008C1811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"/>
      <w:bookmarkEnd w:id="0"/>
      <w:r w:rsidRPr="008C1811"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Par37" w:history="1">
        <w:r w:rsidRPr="008C1811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в </w:t>
      </w:r>
      <w:r w:rsidR="003E11C1" w:rsidRPr="008C1811">
        <w:rPr>
          <w:rFonts w:ascii="Times New Roman" w:hAnsi="Times New Roman" w:cs="Times New Roman"/>
          <w:sz w:val="28"/>
          <w:szCs w:val="28"/>
        </w:rPr>
        <w:t>Комиссию</w:t>
      </w:r>
      <w:r w:rsidRPr="008C1811">
        <w:rPr>
          <w:rFonts w:ascii="Times New Roman" w:hAnsi="Times New Roman" w:cs="Times New Roman"/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"/>
      <w:bookmarkEnd w:id="1"/>
      <w:r w:rsidRPr="008C1811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ar9" w:history="1">
        <w:r w:rsidRPr="008C1811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" w:history="1">
        <w:r w:rsidRPr="008C1811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лица, замещающего государственную (муниципальную) должность, служащего, работника, оно представляется не позднее следующего дня после ее устранения.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государственного (муниципального) органа или соответствующий коллегиальный орган фонда или иной организации (уполномоченных органа или организации), образованные в соответствии с законодательством о бухгалтерском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учёте</w:t>
      </w:r>
      <w:r w:rsidRPr="008C1811">
        <w:rPr>
          <w:rFonts w:ascii="Times New Roman" w:hAnsi="Times New Roman" w:cs="Times New Roman"/>
          <w:sz w:val="28"/>
          <w:szCs w:val="28"/>
        </w:rPr>
        <w:t xml:space="preserve"> (далее - комиссия или коллегиальный орган).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"/>
      <w:bookmarkEnd w:id="2"/>
      <w:r w:rsidRPr="008C1811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</w:t>
      </w:r>
      <w:r w:rsidR="00AE7502" w:rsidRPr="008C1811">
        <w:rPr>
          <w:rFonts w:ascii="Times New Roman" w:hAnsi="Times New Roman" w:cs="Times New Roman"/>
          <w:sz w:val="28"/>
          <w:szCs w:val="28"/>
        </w:rPr>
        <w:t>сдаётся</w:t>
      </w:r>
      <w:r w:rsidR="001D2E19">
        <w:rPr>
          <w:rFonts w:ascii="Times New Roman" w:hAnsi="Times New Roman" w:cs="Times New Roman"/>
          <w:sz w:val="28"/>
          <w:szCs w:val="28"/>
        </w:rPr>
        <w:t xml:space="preserve"> </w:t>
      </w:r>
      <w:r w:rsidR="00AE7502" w:rsidRPr="008C1811">
        <w:rPr>
          <w:rFonts w:ascii="Times New Roman" w:hAnsi="Times New Roman" w:cs="Times New Roman"/>
          <w:sz w:val="28"/>
          <w:szCs w:val="28"/>
        </w:rPr>
        <w:t>в Комиссию, которая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принимает его на хранение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>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8. Подарок, полученный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r w:rsidR="001D2E19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района,</w:t>
      </w:r>
      <w:r w:rsidRPr="008C1811">
        <w:rPr>
          <w:rFonts w:ascii="Times New Roman" w:hAnsi="Times New Roman" w:cs="Times New Roman"/>
          <w:sz w:val="28"/>
          <w:szCs w:val="28"/>
        </w:rPr>
        <w:t xml:space="preserve"> независимо от его стоимости, подлежит передаче на хранение в порядке, предусмотренном </w:t>
      </w:r>
      <w:hyperlink w:anchor="Par15" w:history="1">
        <w:r w:rsidRPr="008C1811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87505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9. До передачи подарка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 xml:space="preserve">-передачи ответственность в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за утрату или повреждение подарка </w:t>
      </w:r>
      <w:r w:rsidR="00AE7502" w:rsidRPr="008C1811">
        <w:rPr>
          <w:rFonts w:ascii="Times New Roman" w:hAnsi="Times New Roman" w:cs="Times New Roman"/>
          <w:sz w:val="28"/>
          <w:szCs w:val="28"/>
        </w:rPr>
        <w:t>несёт</w:t>
      </w:r>
      <w:r w:rsidRPr="008C1811">
        <w:rPr>
          <w:rFonts w:ascii="Times New Roman" w:hAnsi="Times New Roman" w:cs="Times New Roman"/>
          <w:sz w:val="28"/>
          <w:szCs w:val="28"/>
        </w:rPr>
        <w:t xml:space="preserve"> лицо, получившее подарок.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</w:t>
      </w:r>
      <w:r w:rsidR="00AE7502" w:rsidRPr="008C1811">
        <w:rPr>
          <w:rFonts w:ascii="Times New Roman" w:hAnsi="Times New Roman" w:cs="Times New Roman"/>
          <w:sz w:val="28"/>
          <w:szCs w:val="28"/>
        </w:rPr>
        <w:t>путём</w:t>
      </w:r>
      <w:r w:rsidRPr="008C1811">
        <w:rPr>
          <w:rFonts w:ascii="Times New Roman" w:hAnsi="Times New Roman" w:cs="Times New Roman"/>
          <w:sz w:val="28"/>
          <w:szCs w:val="28"/>
        </w:rPr>
        <w:t xml:space="preserve">. Подарок возвращается сдавшему его лицу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 xml:space="preserve">-передачи в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>, если его стоимость не превышает 3 тыс. рублей.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11. </w:t>
      </w:r>
      <w:r w:rsidR="00887505" w:rsidRPr="008C1811">
        <w:rPr>
          <w:rFonts w:ascii="Times New Roman" w:hAnsi="Times New Roman" w:cs="Times New Roman"/>
          <w:sz w:val="28"/>
          <w:szCs w:val="28"/>
        </w:rPr>
        <w:t>Комиссия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принятого к бухгалтерскому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подарка, стоимость которого превышает 3 тыс. рублей, в реестр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r w:rsidR="001D2E19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2"/>
      <w:bookmarkEnd w:id="3"/>
      <w:r w:rsidRPr="008C1811">
        <w:rPr>
          <w:rFonts w:ascii="Times New Roman" w:hAnsi="Times New Roman" w:cs="Times New Roman"/>
          <w:sz w:val="28"/>
          <w:szCs w:val="28"/>
        </w:rPr>
        <w:t xml:space="preserve">12.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r w:rsidR="001D2E19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сдавшие подарок, могут его выкупить, направив на имя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Главы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>соответствующее заявление не позднее двух месяцев со дня сдачи подарка.</w:t>
      </w:r>
      <w:r w:rsidR="001D2E19">
        <w:rPr>
          <w:rFonts w:ascii="Times New Roman" w:hAnsi="Times New Roman" w:cs="Times New Roman"/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органах местного самоуправления </w:t>
      </w:r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r w:rsidR="001D2E19">
        <w:rPr>
          <w:rFonts w:ascii="Times New Roman" w:hAnsi="Times New Roman" w:cs="Times New Roman"/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района, сдавшие подарок, могут его выкупить, направив соответствующее заявление на имя руководителя Исполнительного комитета  </w:t>
      </w:r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r w:rsidR="001D2E19">
        <w:rPr>
          <w:rFonts w:ascii="Times New Roman" w:hAnsi="Times New Roman" w:cs="Times New Roman"/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3"/>
      <w:bookmarkEnd w:id="4"/>
      <w:r w:rsidRPr="008C1811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977867" w:rsidRPr="008C1811">
        <w:rPr>
          <w:rFonts w:ascii="Times New Roman" w:hAnsi="Times New Roman" w:cs="Times New Roman"/>
          <w:sz w:val="28"/>
          <w:szCs w:val="28"/>
        </w:rPr>
        <w:t>Комиссия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в течение 3 месяцев со дня поступления заявления, указанного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77867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13(1).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</w:t>
      </w:r>
      <w:r w:rsidR="00A557FC" w:rsidRPr="008C1811">
        <w:rPr>
          <w:rFonts w:ascii="Times New Roman" w:hAnsi="Times New Roman" w:cs="Times New Roman"/>
          <w:sz w:val="28"/>
          <w:szCs w:val="28"/>
        </w:rPr>
        <w:t xml:space="preserve">выборных должностных лиц, лица замещающих муниципальные должности и должности муниципальной службы в органах местного самоуправления </w:t>
      </w:r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r w:rsidR="001D2E19">
        <w:rPr>
          <w:rFonts w:ascii="Times New Roman" w:hAnsi="Times New Roman" w:cs="Times New Roman"/>
          <w:sz w:val="28"/>
          <w:szCs w:val="28"/>
        </w:rPr>
        <w:t xml:space="preserve"> </w:t>
      </w:r>
      <w:r w:rsidR="00A557FC" w:rsidRPr="008C181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557FC" w:rsidRPr="008C1811">
        <w:rPr>
          <w:rFonts w:ascii="Times New Roman" w:hAnsi="Times New Roman" w:cs="Times New Roman"/>
          <w:sz w:val="28"/>
          <w:szCs w:val="28"/>
        </w:rPr>
        <w:lastRenderedPageBreak/>
        <w:t>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57FC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либо в случае отказа указанных лиц от выкупа такого подарка подарок, изготовленный из драгоценных металлов 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или) драгоценных камней, подлежит передаче </w:t>
      </w:r>
      <w:r w:rsidR="00A557FC" w:rsidRPr="008C1811">
        <w:rPr>
          <w:rFonts w:ascii="Times New Roman" w:hAnsi="Times New Roman" w:cs="Times New Roman"/>
          <w:sz w:val="28"/>
          <w:szCs w:val="28"/>
        </w:rPr>
        <w:t>Комиссией</w:t>
      </w:r>
      <w:r w:rsidRPr="008C1811">
        <w:rPr>
          <w:rFonts w:ascii="Times New Roman" w:hAnsi="Times New Roman" w:cs="Times New Roman"/>
          <w:sz w:val="28"/>
          <w:szCs w:val="28"/>
        </w:rPr>
        <w:t xml:space="preserve"> в федеральное </w:t>
      </w:r>
      <w:r w:rsidR="00A557FC" w:rsidRPr="008C1811">
        <w:rPr>
          <w:rFonts w:ascii="Times New Roman" w:hAnsi="Times New Roman" w:cs="Times New Roman"/>
          <w:sz w:val="28"/>
          <w:szCs w:val="28"/>
        </w:rPr>
        <w:t>казённое</w:t>
      </w:r>
      <w:r w:rsidRPr="008C1811">
        <w:rPr>
          <w:rFonts w:ascii="Times New Roman" w:hAnsi="Times New Roman" w:cs="Times New Roman"/>
          <w:sz w:val="28"/>
          <w:szCs w:val="28"/>
        </w:rPr>
        <w:t xml:space="preserve">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14. Подарок, в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которого не поступило заявление, указанное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57FC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оложения, может использоваться </w:t>
      </w:r>
      <w:r w:rsidR="00A557FC" w:rsidRPr="008C1811">
        <w:rPr>
          <w:rFonts w:ascii="Times New Roman" w:hAnsi="Times New Roman" w:cs="Times New Roman"/>
          <w:sz w:val="28"/>
          <w:szCs w:val="28"/>
        </w:rPr>
        <w:t>с учётом заключения К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омиссии для обеспечения деятельности </w:t>
      </w:r>
      <w:r w:rsidR="00A557FC" w:rsidRPr="008C1811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1D2E19">
        <w:rPr>
          <w:rFonts w:ascii="Times New Roman" w:hAnsi="Times New Roman" w:cs="Times New Roman"/>
          <w:sz w:val="28"/>
          <w:szCs w:val="28"/>
        </w:rPr>
        <w:t xml:space="preserve"> </w:t>
      </w:r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r w:rsidR="001D2E19">
        <w:rPr>
          <w:rFonts w:ascii="Times New Roman" w:hAnsi="Times New Roman" w:cs="Times New Roman"/>
          <w:sz w:val="28"/>
          <w:szCs w:val="28"/>
        </w:rPr>
        <w:t xml:space="preserve"> </w:t>
      </w:r>
      <w:r w:rsidR="00A557FC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8"/>
      <w:bookmarkEnd w:id="5"/>
      <w:r w:rsidRPr="008C1811">
        <w:rPr>
          <w:rFonts w:ascii="Times New Roman" w:hAnsi="Times New Roman" w:cs="Times New Roman"/>
          <w:sz w:val="28"/>
          <w:szCs w:val="28"/>
        </w:rPr>
        <w:t xml:space="preserve">15. В случае нецелесообразности использования подарка 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r w:rsidR="001D2E19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GoBack"/>
      <w:bookmarkEnd w:id="6"/>
      <w:r w:rsidR="008C1811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фонда или иной организации принимается решение о реализации подарка и проведении оценки его стоимости для реализации (выкупа), осуществляемой </w:t>
      </w:r>
      <w:r w:rsidR="00A557FC" w:rsidRPr="008C1811">
        <w:rPr>
          <w:rFonts w:ascii="Times New Roman" w:hAnsi="Times New Roman" w:cs="Times New Roman"/>
          <w:sz w:val="28"/>
          <w:szCs w:val="28"/>
        </w:rPr>
        <w:t>Комиссией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ar23" w:history="1">
        <w:r w:rsidRPr="008C1811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8" w:history="1">
        <w:r w:rsidRPr="008C1811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C1811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>17. В случае если подарок не выкуплен или не реализован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 Комиссией,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18. Средства, вырученные от реализации (выкупа) подарка, зачисляются в доход бюджета 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>, установленном бюджетным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37"/>
      <w:bookmarkEnd w:id="7"/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4734B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111B1B" w:rsidRDefault="00111B1B" w:rsidP="00851F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111B1B" w:rsidRDefault="00111B1B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к Положению о сообщении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отдельными категориями лиц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официальными мероприятиями,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 xml:space="preserve">участие 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 xml:space="preserve"> которых связано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 xml:space="preserve">с исполнением ими 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служебных</w:t>
      </w:r>
      <w:proofErr w:type="gramEnd"/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(должностных) обязанностей, сдаче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и оценке подарка, реализации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выкупе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>) и зачислении средств,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вырученных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 xml:space="preserve"> от его реализации</w:t>
      </w:r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о получении подарка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(наименование уполномоченного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структурного подразделения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государственного (муниципального) органа, фонда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или иной организации (уполномоченных органа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или организации)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от 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ф.и.о.</w:t>
      </w:r>
      <w:proofErr w:type="spellEnd"/>
      <w:r>
        <w:rPr>
          <w:rFonts w:ascii="Courier New" w:hAnsi="Courier New" w:cs="Courier New"/>
          <w:sz w:val="20"/>
          <w:szCs w:val="20"/>
        </w:rPr>
        <w:t>, занимаемая должность)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Уведомление о получении подарка от "__" ________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Извещаю о получении ___________________________________________________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(дата получения)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подарк</w:t>
      </w:r>
      <w:proofErr w:type="gramStart"/>
      <w:r>
        <w:rPr>
          <w:rFonts w:ascii="Courier New" w:hAnsi="Courier New" w:cs="Courier New"/>
          <w:sz w:val="20"/>
          <w:szCs w:val="20"/>
        </w:rPr>
        <w:t>а(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ов</w:t>
      </w:r>
      <w:proofErr w:type="spellEnd"/>
      <w:r>
        <w:rPr>
          <w:rFonts w:ascii="Courier New" w:hAnsi="Courier New" w:cs="Courier New"/>
          <w:sz w:val="20"/>
          <w:szCs w:val="20"/>
        </w:rPr>
        <w:t>) на ____________________________________________________________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(наименование протокольного мероприятия, служебной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командировки, другого официального мероприятия, место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и дата проведения)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FA42F1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FA42F1">
        <w:tc>
          <w:tcPr>
            <w:tcW w:w="2426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______________________________________________ на _____ листах.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(наименование документа)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представившее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    принявшее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Регистрационный номер в </w:t>
      </w:r>
      <w:proofErr w:type="gramStart"/>
      <w:r>
        <w:rPr>
          <w:rFonts w:ascii="Courier New" w:hAnsi="Courier New" w:cs="Courier New"/>
          <w:sz w:val="20"/>
          <w:szCs w:val="20"/>
        </w:rPr>
        <w:t>журнале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регистрации уведомлений 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02009" w:rsidRDefault="00FA42F1" w:rsidP="008C1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 20__ г.</w:t>
      </w:r>
    </w:p>
    <w:sectPr w:rsidR="00202009" w:rsidSect="00134A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4C0" w:rsidRDefault="008C54C0" w:rsidP="005760D3">
      <w:pPr>
        <w:spacing w:after="0" w:line="240" w:lineRule="auto"/>
      </w:pPr>
      <w:r>
        <w:separator/>
      </w:r>
    </w:p>
  </w:endnote>
  <w:endnote w:type="continuationSeparator" w:id="0">
    <w:p w:rsidR="008C54C0" w:rsidRDefault="008C54C0" w:rsidP="0057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4C0" w:rsidRDefault="008C54C0" w:rsidP="005760D3">
      <w:pPr>
        <w:spacing w:after="0" w:line="240" w:lineRule="auto"/>
      </w:pPr>
      <w:r>
        <w:separator/>
      </w:r>
    </w:p>
  </w:footnote>
  <w:footnote w:type="continuationSeparator" w:id="0">
    <w:p w:rsidR="008C54C0" w:rsidRDefault="008C54C0" w:rsidP="00576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08B"/>
    <w:rsid w:val="000031EC"/>
    <w:rsid w:val="00046811"/>
    <w:rsid w:val="0004692E"/>
    <w:rsid w:val="00052BCF"/>
    <w:rsid w:val="00053D79"/>
    <w:rsid w:val="00060F72"/>
    <w:rsid w:val="000F7EE4"/>
    <w:rsid w:val="00111B1B"/>
    <w:rsid w:val="00134A78"/>
    <w:rsid w:val="001D2E19"/>
    <w:rsid w:val="001F4907"/>
    <w:rsid w:val="00202009"/>
    <w:rsid w:val="00204C15"/>
    <w:rsid w:val="002330DC"/>
    <w:rsid w:val="002879E2"/>
    <w:rsid w:val="0031404B"/>
    <w:rsid w:val="0036280A"/>
    <w:rsid w:val="00387C43"/>
    <w:rsid w:val="003E11C1"/>
    <w:rsid w:val="00454D91"/>
    <w:rsid w:val="004734BF"/>
    <w:rsid w:val="00487A41"/>
    <w:rsid w:val="00495173"/>
    <w:rsid w:val="00496940"/>
    <w:rsid w:val="005760D3"/>
    <w:rsid w:val="005B6849"/>
    <w:rsid w:val="006C1637"/>
    <w:rsid w:val="006C3689"/>
    <w:rsid w:val="006F15A4"/>
    <w:rsid w:val="007805DA"/>
    <w:rsid w:val="00851FF3"/>
    <w:rsid w:val="00887505"/>
    <w:rsid w:val="008C1811"/>
    <w:rsid w:val="008C54C0"/>
    <w:rsid w:val="00924977"/>
    <w:rsid w:val="00977867"/>
    <w:rsid w:val="009826BE"/>
    <w:rsid w:val="00A04075"/>
    <w:rsid w:val="00A557FC"/>
    <w:rsid w:val="00A76038"/>
    <w:rsid w:val="00A84161"/>
    <w:rsid w:val="00A85980"/>
    <w:rsid w:val="00A9608B"/>
    <w:rsid w:val="00AB3B3D"/>
    <w:rsid w:val="00AE7502"/>
    <w:rsid w:val="00B75DCF"/>
    <w:rsid w:val="00BB2110"/>
    <w:rsid w:val="00C1477F"/>
    <w:rsid w:val="00C44503"/>
    <w:rsid w:val="00C55561"/>
    <w:rsid w:val="00C579C6"/>
    <w:rsid w:val="00D16261"/>
    <w:rsid w:val="00D33130"/>
    <w:rsid w:val="00E45B09"/>
    <w:rsid w:val="00EB1E7A"/>
    <w:rsid w:val="00EC508D"/>
    <w:rsid w:val="00F01118"/>
    <w:rsid w:val="00F03708"/>
    <w:rsid w:val="00FA42F1"/>
    <w:rsid w:val="00FB6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60D3"/>
  </w:style>
  <w:style w:type="paragraph" w:styleId="a7">
    <w:name w:val="footer"/>
    <w:basedOn w:val="a"/>
    <w:link w:val="a8"/>
    <w:uiPriority w:val="99"/>
    <w:unhideWhenUsed/>
    <w:rsid w:val="0057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6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60D3"/>
  </w:style>
  <w:style w:type="paragraph" w:styleId="a7">
    <w:name w:val="footer"/>
    <w:basedOn w:val="a"/>
    <w:link w:val="a8"/>
    <w:uiPriority w:val="99"/>
    <w:unhideWhenUsed/>
    <w:rsid w:val="0057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6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77E9F82D4690AB86B549BCA063F7ACED7E59875D36486CD95F0FA06C3F0998C22119AA03EA327E6AC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5A43A-2FB0-4920-B710-1BCE6527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2454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9</cp:revision>
  <dcterms:created xsi:type="dcterms:W3CDTF">2016-12-28T05:45:00Z</dcterms:created>
  <dcterms:modified xsi:type="dcterms:W3CDTF">2017-02-10T11:15:00Z</dcterms:modified>
</cp:coreProperties>
</file>