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2A5163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100965</wp:posOffset>
                      </wp:positionV>
                      <wp:extent cx="1095375" cy="226060"/>
                      <wp:effectExtent l="0" t="0" r="9525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2A5163" w:rsidRDefault="002A5163" w:rsidP="00CC3A3A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lang w:val="tt-RU"/>
                                    </w:rPr>
                                    <w:t>а</w:t>
                                  </w:r>
                                  <w:r w:rsidR="00A461A4">
                                    <w:rPr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.3pt;margin-top:7.95pt;width:86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h5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" filled="f" stroked="f" strokecolor="white">
                      <v:textbox inset="0,0,0,0">
                        <w:txbxContent>
                          <w:p w:rsidR="00CC3A3A" w:rsidRPr="002A5163" w:rsidRDefault="002A5163" w:rsidP="00CC3A3A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>
                              <w:t>Бу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>а</w:t>
                            </w:r>
                            <w:r w:rsidR="00A461A4">
                              <w:rPr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2A5163" w:rsidP="00E42AFA">
            <w:pPr>
              <w:jc w:val="center"/>
              <w:rPr>
                <w:color w:val="000000"/>
              </w:rPr>
            </w:pPr>
            <w:r>
              <w:t xml:space="preserve">9 </w:t>
            </w:r>
            <w:proofErr w:type="spellStart"/>
            <w:r>
              <w:t>ноябр</w:t>
            </w:r>
            <w:proofErr w:type="spellEnd"/>
            <w:r>
              <w:rPr>
                <w:lang w:val="tt-RU"/>
              </w:rPr>
              <w:t>ь</w:t>
            </w:r>
            <w:r w:rsidRPr="0046008C"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CC3A3A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 3</w:t>
            </w:r>
            <w:r w:rsidRPr="0046008C">
              <w:t>-35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2A5163" w:rsidRPr="0049655B" w:rsidRDefault="002A5163" w:rsidP="002A5163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bookmarkStart w:id="0" w:name="_GoBack"/>
      <w:bookmarkEnd w:id="0"/>
    </w:p>
    <w:p w:rsidR="002A5163" w:rsidRPr="0049655B" w:rsidRDefault="002A5163" w:rsidP="002A5163">
      <w:pPr>
        <w:jc w:val="both"/>
        <w:rPr>
          <w:lang w:val="tt-RU"/>
        </w:rPr>
      </w:pPr>
      <w:r w:rsidRPr="0049655B">
        <w:rPr>
          <w:lang w:val="tt-RU"/>
        </w:rPr>
        <w:t xml:space="preserve">Аксу авыл җирлеге </w:t>
      </w:r>
    </w:p>
    <w:p w:rsidR="002A5163" w:rsidRPr="0049655B" w:rsidRDefault="002A5163" w:rsidP="002A5163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2A5163" w:rsidRPr="0049655B" w:rsidRDefault="002A5163" w:rsidP="002A5163">
      <w:pPr>
        <w:jc w:val="both"/>
        <w:rPr>
          <w:lang w:val="tt-RU"/>
        </w:rPr>
      </w:pPr>
    </w:p>
    <w:p w:rsidR="002A5163" w:rsidRPr="0049655B" w:rsidRDefault="002A5163" w:rsidP="002A5163">
      <w:pPr>
        <w:ind w:firstLine="567"/>
        <w:jc w:val="both"/>
        <w:rPr>
          <w:lang w:val="tt-RU"/>
        </w:rPr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28 августындагы 10-53/11262 номерлы генераль план проектына бәяләмәсен караганнан соң, Татарстан Республикасы Буа муниципаль районы Советы </w:t>
      </w:r>
    </w:p>
    <w:p w:rsidR="002A5163" w:rsidRPr="0049655B" w:rsidRDefault="002A5163" w:rsidP="002A5163">
      <w:pPr>
        <w:ind w:firstLine="567"/>
        <w:jc w:val="both"/>
        <w:rPr>
          <w:lang w:val="tt-RU"/>
        </w:rPr>
      </w:pPr>
    </w:p>
    <w:p w:rsidR="002A5163" w:rsidRPr="00CC3A3A" w:rsidRDefault="002A5163" w:rsidP="002A5163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2A5163" w:rsidRPr="00CC3A3A" w:rsidRDefault="002A5163" w:rsidP="002A5163">
      <w:pPr>
        <w:ind w:firstLine="851"/>
        <w:jc w:val="both"/>
        <w:rPr>
          <w:b/>
        </w:rPr>
      </w:pPr>
    </w:p>
    <w:p w:rsidR="002A5163" w:rsidRPr="0049655B" w:rsidRDefault="002A5163" w:rsidP="002A5163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Аксу авыл җирлеге Генераль планын расларга (кушымта итеп бирелә).</w:t>
      </w:r>
    </w:p>
    <w:p w:rsidR="002A5163" w:rsidRDefault="002A5163" w:rsidP="002A5163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А</w:t>
      </w:r>
      <w:r>
        <w:rPr>
          <w:lang w:val="tt-RU"/>
        </w:rPr>
        <w:t>ксу</w:t>
      </w:r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2A5163" w:rsidRPr="008A76FE" w:rsidRDefault="002A5163" w:rsidP="002A5163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2A5163" w:rsidRPr="002A5163" w:rsidRDefault="002A5163" w:rsidP="002A5163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2A5163" w:rsidRPr="002A5163" w:rsidRDefault="002A5163" w:rsidP="002A5163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2A5163" w:rsidRPr="0049655B" w:rsidRDefault="002A5163" w:rsidP="002A5163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2A5163" w:rsidRPr="0049655B" w:rsidRDefault="002A5163" w:rsidP="002A5163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2A5163" w:rsidRDefault="002A5163" w:rsidP="002A5163">
      <w:pPr>
        <w:contextualSpacing/>
        <w:jc w:val="both"/>
        <w:rPr>
          <w:lang w:val="tt-RU"/>
        </w:rPr>
      </w:pPr>
    </w:p>
    <w:p w:rsidR="00096AC1" w:rsidRDefault="00096AC1" w:rsidP="00CC3A3A">
      <w:pPr>
        <w:jc w:val="both"/>
        <w:rPr>
          <w:b/>
          <w:lang w:val="tt-RU"/>
        </w:rPr>
      </w:pPr>
    </w:p>
    <w:p w:rsidR="002A5163" w:rsidRDefault="002A5163" w:rsidP="00CC3A3A">
      <w:pPr>
        <w:jc w:val="both"/>
        <w:rPr>
          <w:b/>
          <w:lang w:val="tt-RU"/>
        </w:rPr>
      </w:pPr>
    </w:p>
    <w:p w:rsidR="002A5163" w:rsidRDefault="002A5163" w:rsidP="00CC3A3A">
      <w:pPr>
        <w:jc w:val="both"/>
        <w:rPr>
          <w:b/>
          <w:lang w:val="tt-RU"/>
        </w:rPr>
      </w:pPr>
    </w:p>
    <w:p w:rsidR="002A5163" w:rsidRPr="002A5163" w:rsidRDefault="002A5163" w:rsidP="00CC3A3A">
      <w:pPr>
        <w:jc w:val="both"/>
        <w:rPr>
          <w:b/>
          <w:lang w:val="tt-RU"/>
        </w:rPr>
      </w:pPr>
    </w:p>
    <w:p w:rsidR="00096AC1" w:rsidRDefault="00096AC1" w:rsidP="00CC3A3A">
      <w:pPr>
        <w:jc w:val="both"/>
        <w:rPr>
          <w:b/>
        </w:rPr>
      </w:pPr>
    </w:p>
    <w:p w:rsidR="00096AC1" w:rsidRDefault="00096AC1" w:rsidP="00CC3A3A">
      <w:pPr>
        <w:jc w:val="both"/>
        <w:rPr>
          <w:b/>
        </w:rPr>
      </w:pPr>
    </w:p>
    <w:p w:rsidR="00096AC1" w:rsidRDefault="00096AC1" w:rsidP="00CC3A3A">
      <w:pPr>
        <w:jc w:val="both"/>
        <w:rPr>
          <w:b/>
        </w:rPr>
      </w:pPr>
    </w:p>
    <w:p w:rsidR="00096AC1" w:rsidRDefault="00096AC1" w:rsidP="00096AC1"/>
    <w:p w:rsidR="00096AC1" w:rsidRPr="00096AC1" w:rsidRDefault="002A5163" w:rsidP="00096AC1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1300" cy="489585"/>
                <wp:effectExtent l="19050" t="19050" r="62865" b="628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096AC1" w:rsidRPr="00096AC1" w:rsidRDefault="002A5163" w:rsidP="00096AC1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04575"/>
                <wp:effectExtent l="0" t="0" r="23495" b="127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2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096AC1" w:rsidRPr="00096AC1" w:rsidRDefault="00096AC1" w:rsidP="00096AC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96AC1">
        <w:rPr>
          <w:b/>
          <w:sz w:val="32"/>
          <w:szCs w:val="32"/>
          <w:lang w:eastAsia="en-US"/>
        </w:rPr>
        <w:t>ГЕНЕРАЛЬНЫЙ ПЛАН</w:t>
      </w: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96AC1">
        <w:rPr>
          <w:b/>
          <w:sz w:val="32"/>
          <w:szCs w:val="32"/>
          <w:lang w:eastAsia="en-US"/>
        </w:rPr>
        <w:t>АКСУНСКОГО СЕЛЬСКОГО ПОСЕЛЕНИЯ</w:t>
      </w: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96AC1">
        <w:rPr>
          <w:b/>
          <w:sz w:val="32"/>
          <w:szCs w:val="32"/>
          <w:lang w:eastAsia="en-US"/>
        </w:rPr>
        <w:t>БУИНСКОГО МУНИЦИПАЛЬНОГО РАЙОНА</w:t>
      </w: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096AC1">
        <w:rPr>
          <w:b/>
          <w:sz w:val="32"/>
          <w:szCs w:val="32"/>
          <w:lang w:eastAsia="en-US"/>
        </w:rPr>
        <w:t>РЕСПУБЛИКИ ТАТАРСТАН</w:t>
      </w: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096AC1" w:rsidRPr="00096AC1" w:rsidRDefault="00096AC1" w:rsidP="00096AC1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096AC1">
        <w:rPr>
          <w:b/>
          <w:sz w:val="26"/>
          <w:szCs w:val="26"/>
          <w:lang w:eastAsia="en-US"/>
        </w:rPr>
        <w:t>УТВЕРЖДАЕМАЯ ЧАСТЬ</w:t>
      </w: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096AC1">
        <w:rPr>
          <w:b/>
          <w:i/>
          <w:lang w:eastAsia="en-US"/>
        </w:rPr>
        <w:t>Том 1</w:t>
      </w:r>
    </w:p>
    <w:p w:rsidR="00096AC1" w:rsidRPr="00096AC1" w:rsidRDefault="00096AC1" w:rsidP="00096AC1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jc w:val="center"/>
        <w:rPr>
          <w:i/>
          <w:lang w:eastAsia="en-US"/>
        </w:rPr>
      </w:pPr>
      <w:r w:rsidRPr="00096AC1">
        <w:rPr>
          <w:i/>
          <w:lang w:eastAsia="en-US"/>
        </w:rPr>
        <w:t>Положения о территориальном планировании</w:t>
      </w: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284"/>
        <w:jc w:val="center"/>
        <w:rPr>
          <w:rFonts w:ascii="Cambria" w:hAnsi="Cambria"/>
          <w:color w:val="1F497D"/>
          <w:sz w:val="22"/>
          <w:szCs w:val="22"/>
          <w:lang w:eastAsia="en-US"/>
        </w:rPr>
      </w:pPr>
      <w:r w:rsidRPr="00096AC1">
        <w:rPr>
          <w:i/>
          <w:sz w:val="24"/>
          <w:szCs w:val="24"/>
          <w:lang w:eastAsia="en-US"/>
        </w:rPr>
        <w:t>2018 год</w:t>
      </w:r>
    </w:p>
    <w:p w:rsidR="00096AC1" w:rsidRPr="00096AC1" w:rsidRDefault="00096AC1" w:rsidP="00096AC1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:rsidR="00096AC1" w:rsidRPr="00096AC1" w:rsidRDefault="002A5163" w:rsidP="00096AC1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79080" cy="473075"/>
                <wp:effectExtent l="19050" t="19050" r="43815" b="603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08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792.45pt;width:620.4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096AC1" w:rsidRPr="00096AC1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="00096AC1" w:rsidRPr="00096AC1">
        <w:rPr>
          <w:rFonts w:eastAsia="Calibri"/>
          <w:b/>
          <w:lang w:eastAsia="en-US"/>
        </w:rPr>
        <w:lastRenderedPageBreak/>
        <w:t>СОДЕРЖАНИЕ</w:t>
      </w:r>
    </w:p>
    <w:p w:rsidR="00096AC1" w:rsidRPr="00096AC1" w:rsidRDefault="00096AC1" w:rsidP="00096AC1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096AC1" w:rsidRPr="00096AC1" w:rsidRDefault="00B20587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096AC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096AC1" w:rsidRPr="00096AC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096AC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739813" w:history="1">
        <w:r w:rsidR="00096AC1" w:rsidRPr="00096AC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_Toc513739813 \h </w:instrText>
        </w:r>
        <w:r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739814" w:history="1">
        <w:r w:rsidR="00096AC1" w:rsidRPr="00096AC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_Toc513739814 \h </w:instrTex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739815" w:history="1">
        <w:r w:rsidR="00096AC1" w:rsidRPr="00096AC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_Toc513739815 \h </w:instrTex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739816" w:history="1">
        <w:r w:rsidR="00096AC1" w:rsidRPr="00096AC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_Toc513739816 \h </w:instrTex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739817" w:history="1">
        <w:r w:rsidR="00096AC1" w:rsidRPr="00096AC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_Toc513739817 \h </w:instrTex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739818" w:history="1">
        <w:r w:rsidR="00096AC1" w:rsidRPr="00096AC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_Toc513739818 \h </w:instrTex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739819" w:history="1">
        <w:r w:rsidR="00096AC1" w:rsidRPr="00096AC1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_Toc513739819 \h </w:instrTex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B20587" w:rsidRPr="00096AC1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510FD0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739820" w:history="1">
        <w:r w:rsidR="00096AC1" w:rsidRPr="00096AC1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096AC1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_Toc513739820 \h </w:instrTex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B62EC0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B20587" w:rsidRPr="00096AC1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096AC1" w:rsidRPr="00096AC1" w:rsidRDefault="00B20587" w:rsidP="00096AC1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096AC1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096AC1" w:rsidRPr="00096AC1" w:rsidRDefault="00096AC1" w:rsidP="00096AC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739813"/>
      <w:r w:rsidRPr="00096AC1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096AC1">
        <w:rPr>
          <w:rFonts w:eastAsia="Calibri"/>
          <w:color w:val="000000"/>
          <w:sz w:val="24"/>
          <w:szCs w:val="24"/>
          <w:lang w:eastAsia="en-US"/>
        </w:rPr>
        <w:t>Аксунск</w:t>
      </w:r>
      <w:r w:rsidRPr="00096AC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096AC1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096AC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96AC1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096AC1" w:rsidRPr="00096AC1" w:rsidRDefault="00096AC1" w:rsidP="00096AC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96AC1" w:rsidRPr="00096AC1" w:rsidTr="00CD4E00"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96AC1" w:rsidRPr="00096AC1" w:rsidTr="00CD4E00">
        <w:trPr>
          <w:trHeight w:val="394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096AC1" w:rsidRPr="00096AC1" w:rsidRDefault="00096AC1" w:rsidP="00096AC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096AC1" w:rsidRPr="00096AC1" w:rsidTr="00CD4E00"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096AC1" w:rsidRPr="00096AC1" w:rsidTr="00CD4E00">
        <w:trPr>
          <w:trHeight w:val="589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96AC1" w:rsidRPr="00096AC1" w:rsidTr="00CD4E00">
        <w:trPr>
          <w:trHeight w:val="458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96AC1" w:rsidRPr="00096AC1" w:rsidTr="00CD4E00">
        <w:trPr>
          <w:trHeight w:val="506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96AC1">
        <w:rPr>
          <w:rFonts w:eastAsia="Calibri"/>
          <w:b/>
          <w:sz w:val="24"/>
          <w:szCs w:val="24"/>
          <w:lang w:eastAsia="en-US"/>
        </w:rPr>
        <w:t>Приложение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96AC1" w:rsidRPr="00096AC1" w:rsidTr="00CD4E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96AC1" w:rsidRPr="00096AC1" w:rsidTr="00CD4E00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096AC1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096AC1" w:rsidRPr="00096AC1" w:rsidRDefault="00096AC1" w:rsidP="00096AC1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096AC1" w:rsidRPr="00096AC1" w:rsidTr="00CD4E00"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096AC1" w:rsidRPr="00096AC1" w:rsidTr="00CD4E00">
        <w:trPr>
          <w:trHeight w:val="466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096AC1" w:rsidRPr="00096AC1" w:rsidRDefault="00096AC1" w:rsidP="00096AC1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096AC1" w:rsidRPr="00096AC1" w:rsidTr="00CD4E00">
        <w:tc>
          <w:tcPr>
            <w:tcW w:w="1134" w:type="dxa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096AC1" w:rsidRPr="00096AC1" w:rsidTr="00CD4E00">
        <w:trPr>
          <w:trHeight w:val="559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096AC1" w:rsidRPr="00096AC1" w:rsidTr="00CD4E00">
        <w:trPr>
          <w:trHeight w:val="654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096AC1" w:rsidRPr="00096AC1" w:rsidTr="00CD4E00">
        <w:trPr>
          <w:trHeight w:val="654"/>
        </w:trPr>
        <w:tc>
          <w:tcPr>
            <w:tcW w:w="1134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096AC1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739814"/>
      <w:r w:rsidRPr="00096AC1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proofErr w:type="spellStart"/>
      <w:r w:rsidRPr="00096AC1">
        <w:rPr>
          <w:rFonts w:eastAsia="Calibri"/>
          <w:sz w:val="24"/>
          <w:szCs w:val="24"/>
          <w:lang w:eastAsia="en-US"/>
        </w:rPr>
        <w:t>Аксунского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сельского поселения – Исполнительный комитет </w:t>
      </w:r>
      <w:proofErr w:type="spellStart"/>
      <w:r w:rsidRPr="00096AC1">
        <w:rPr>
          <w:rFonts w:eastAsia="Calibri"/>
          <w:sz w:val="24"/>
          <w:szCs w:val="24"/>
          <w:lang w:eastAsia="en-US"/>
        </w:rPr>
        <w:t>Аксунского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096AC1">
        <w:rPr>
          <w:rFonts w:eastAsia="Calibri"/>
          <w:sz w:val="24"/>
          <w:szCs w:val="24"/>
          <w:lang w:eastAsia="en-US"/>
        </w:rPr>
        <w:t>Буинского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096AC1" w:rsidRPr="00096AC1" w:rsidRDefault="00096AC1" w:rsidP="00096AC1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096AC1" w:rsidRPr="00096AC1" w:rsidRDefault="00096AC1" w:rsidP="00096AC1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</w:rPr>
      </w:pPr>
      <w:bookmarkStart w:id="3" w:name="_Toc513739815"/>
      <w:r w:rsidRPr="00096AC1">
        <w:rPr>
          <w:rFonts w:eastAsia="Calibri"/>
          <w:b/>
          <w:bCs/>
          <w:iCs/>
          <w:sz w:val="24"/>
          <w:szCs w:val="24"/>
        </w:rPr>
        <w:t>1.1. Цели и задачи генерального плана</w:t>
      </w:r>
      <w:bookmarkEnd w:id="3"/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обеспечение устойчивого развития сельского поселения;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определение направления его градостроительного развития;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зон.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096AC1">
        <w:rPr>
          <w:rFonts w:eastAsia="Calibri"/>
          <w:color w:val="000000"/>
          <w:sz w:val="24"/>
          <w:szCs w:val="24"/>
          <w:lang w:eastAsia="en-US"/>
        </w:rPr>
        <w:t>Аксунск</w:t>
      </w:r>
      <w:r w:rsidRPr="00096AC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proofErr w:type="spellStart"/>
      <w:r w:rsidRPr="00096AC1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096AC1">
        <w:rPr>
          <w:rFonts w:eastAsia="Calibri"/>
          <w:sz w:val="24"/>
          <w:szCs w:val="24"/>
          <w:lang w:eastAsia="en-US"/>
        </w:rPr>
        <w:t>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739816"/>
      <w:r w:rsidRPr="00096AC1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096AC1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096AC1" w:rsidRPr="00096AC1" w:rsidRDefault="00096AC1" w:rsidP="00096AC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739817"/>
      <w:r w:rsidRPr="00096AC1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096AC1" w:rsidRPr="00096AC1" w:rsidRDefault="00096AC1" w:rsidP="00096AC1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096AC1">
        <w:rPr>
          <w:sz w:val="24"/>
          <w:szCs w:val="24"/>
        </w:rPr>
        <w:t xml:space="preserve">Таблица </w:t>
      </w:r>
      <w:r w:rsidRPr="00096AC1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2551"/>
        <w:gridCol w:w="1559"/>
        <w:gridCol w:w="1701"/>
      </w:tblGrid>
      <w:tr w:rsidR="00096AC1" w:rsidRPr="00096AC1" w:rsidTr="00CD4E00">
        <w:trPr>
          <w:trHeight w:val="761"/>
        </w:trPr>
        <w:tc>
          <w:tcPr>
            <w:tcW w:w="567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60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268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551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559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096AC1" w:rsidRPr="00096AC1" w:rsidTr="00CD4E00">
        <w:trPr>
          <w:trHeight w:val="385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096AC1" w:rsidRPr="00096AC1" w:rsidTr="00CD4E00">
        <w:trPr>
          <w:trHeight w:val="247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 Размещение объектов не планируется</w:t>
            </w:r>
          </w:p>
        </w:tc>
      </w:tr>
      <w:tr w:rsidR="00096AC1" w:rsidRPr="00096AC1" w:rsidTr="00CD4E00">
        <w:trPr>
          <w:trHeight w:val="437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096AC1" w:rsidRPr="00096AC1" w:rsidTr="00CD4E00">
        <w:trPr>
          <w:trHeight w:val="155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096AC1" w:rsidRPr="00096AC1" w:rsidTr="00CD4E00">
        <w:trPr>
          <w:trHeight w:val="447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096AC1" w:rsidRPr="00096AC1" w:rsidTr="00CD4E00">
        <w:trPr>
          <w:trHeight w:val="85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096AC1" w:rsidRPr="00096AC1" w:rsidTr="00CD4E00">
        <w:trPr>
          <w:trHeight w:val="442"/>
        </w:trPr>
        <w:tc>
          <w:tcPr>
            <w:tcW w:w="10206" w:type="dxa"/>
            <w:gridSpan w:val="6"/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096AC1" w:rsidRPr="00096AC1" w:rsidTr="00CD4E00">
        <w:trPr>
          <w:trHeight w:val="85"/>
        </w:trPr>
        <w:tc>
          <w:tcPr>
            <w:tcW w:w="10206" w:type="dxa"/>
            <w:gridSpan w:val="6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096AC1" w:rsidRPr="00096AC1" w:rsidRDefault="00096AC1" w:rsidP="00096AC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096AC1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739818"/>
      <w:r w:rsidRPr="00096AC1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096AC1" w:rsidRPr="00096AC1" w:rsidRDefault="00096AC1" w:rsidP="00096AC1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096AC1">
        <w:rPr>
          <w:sz w:val="24"/>
          <w:szCs w:val="24"/>
        </w:rPr>
        <w:t xml:space="preserve">Таблица </w:t>
      </w:r>
      <w:r w:rsidRPr="00096AC1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5"/>
        <w:gridCol w:w="2117"/>
        <w:gridCol w:w="1615"/>
      </w:tblGrid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096AC1" w:rsidRPr="00096AC1" w:rsidTr="00CD4E00"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096AC1" w:rsidRPr="00096AC1" w:rsidTr="00CD4E00">
        <w:tc>
          <w:tcPr>
            <w:tcW w:w="2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096AC1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096AC1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96AC1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lastRenderedPageBreak/>
              <w:t>- аэропорты, аэродромы, взлетно-посадочные полосы и площадки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096AC1">
              <w:rPr>
                <w:rFonts w:eastAsia="Calibri"/>
                <w:sz w:val="20"/>
                <w:szCs w:val="20"/>
                <w:lang w:eastAsia="en-US"/>
              </w:rPr>
              <w:t>4.9; 4.9.1; 5.4; 7.1 - 7.4; 12.0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сельскохозяйственных угодий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096AC1" w:rsidRPr="00096AC1" w:rsidTr="00CD4E00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AC1" w:rsidRPr="00096AC1" w:rsidRDefault="00096AC1" w:rsidP="00096AC1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96AC1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96AC1">
        <w:rPr>
          <w:rFonts w:eastAsia="Calibri"/>
          <w:sz w:val="24"/>
          <w:szCs w:val="24"/>
          <w:lang w:eastAsia="en-US"/>
        </w:rPr>
        <w:t xml:space="preserve">* </w:t>
      </w:r>
      <w:r w:rsidRPr="00096AC1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096AC1">
        <w:rPr>
          <w:rFonts w:eastAsia="Calibri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sz w:val="24"/>
          <w:szCs w:val="24"/>
        </w:rPr>
      </w:pPr>
      <w:bookmarkStart w:id="7" w:name="_Toc513739819"/>
      <w:r w:rsidRPr="00096AC1">
        <w:rPr>
          <w:rFonts w:eastAsia="Calibri"/>
          <w:b/>
          <w:bCs/>
          <w:iCs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096AC1" w:rsidRPr="00096AC1" w:rsidRDefault="00096AC1" w:rsidP="00096AC1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513739820"/>
      <w:r w:rsidRPr="00096AC1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proofErr w:type="spellStart"/>
      <w:r w:rsidRPr="00096AC1">
        <w:rPr>
          <w:rFonts w:eastAsia="Calibri"/>
          <w:sz w:val="24"/>
          <w:szCs w:val="24"/>
          <w:lang w:eastAsia="en-US"/>
        </w:rPr>
        <w:t>Аксунского</w:t>
      </w:r>
      <w:proofErr w:type="spellEnd"/>
      <w:r w:rsidRPr="00096AC1">
        <w:rPr>
          <w:rFonts w:eastAsia="Calibri"/>
          <w:sz w:val="24"/>
          <w:szCs w:val="24"/>
          <w:lang w:eastAsia="en-US"/>
        </w:rPr>
        <w:t xml:space="preserve"> сельского </w:t>
      </w:r>
      <w:proofErr w:type="gramStart"/>
      <w:r w:rsidRPr="00096AC1">
        <w:rPr>
          <w:rFonts w:eastAsia="Calibri"/>
          <w:sz w:val="24"/>
          <w:szCs w:val="24"/>
          <w:lang w:eastAsia="en-US"/>
        </w:rPr>
        <w:t>поселения</w:t>
      </w:r>
      <w:proofErr w:type="gramEnd"/>
      <w:r w:rsidRPr="00096AC1">
        <w:rPr>
          <w:rFonts w:eastAsia="Calibri"/>
          <w:sz w:val="24"/>
          <w:szCs w:val="24"/>
          <w:lang w:eastAsia="en-US"/>
        </w:rPr>
        <w:t xml:space="preserve">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96AC1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682D63" w:rsidRPr="00682D63" w:rsidRDefault="00682D63" w:rsidP="00682D63">
      <w:pPr>
        <w:ind w:firstLine="709"/>
        <w:rPr>
          <w:rFonts w:eastAsia="Calibri"/>
          <w:sz w:val="24"/>
          <w:szCs w:val="24"/>
          <w:lang w:eastAsia="en-US"/>
        </w:rPr>
      </w:pPr>
      <w:r w:rsidRPr="00682D63">
        <w:rPr>
          <w:rFonts w:eastAsia="Calibri"/>
          <w:sz w:val="24"/>
          <w:szCs w:val="24"/>
          <w:lang w:eastAsia="en-US"/>
        </w:rPr>
        <w:t>Изменение границы территории с. Аксу настоящим проектом не предусматривается.</w:t>
      </w:r>
    </w:p>
    <w:p w:rsidR="00682D63" w:rsidRPr="00096AC1" w:rsidRDefault="00682D63" w:rsidP="00682D63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  <w:sectPr w:rsidR="00096AC1" w:rsidRPr="00096AC1" w:rsidSect="00096AC1">
          <w:footerReference w:type="default" r:id="rId10"/>
          <w:endnotePr>
            <w:numFmt w:val="decimal"/>
          </w:endnotePr>
          <w:pgSz w:w="11906" w:h="16838"/>
          <w:pgMar w:top="851" w:right="566" w:bottom="851" w:left="1134" w:header="426" w:footer="488" w:gutter="0"/>
          <w:cols w:space="708"/>
          <w:titlePg/>
          <w:docGrid w:linePitch="360"/>
        </w:sect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96AC1" w:rsidRPr="00096AC1" w:rsidRDefault="00096AC1" w:rsidP="00096AC1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096AC1" w:rsidRPr="00096AC1" w:rsidRDefault="00096AC1" w:rsidP="00096AC1"/>
    <w:sectPr w:rsidR="00096AC1" w:rsidRPr="00096AC1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D0" w:rsidRDefault="00510FD0" w:rsidP="00096AC1">
      <w:r>
        <w:separator/>
      </w:r>
    </w:p>
  </w:endnote>
  <w:endnote w:type="continuationSeparator" w:id="0">
    <w:p w:rsidR="00510FD0" w:rsidRDefault="00510FD0" w:rsidP="0009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C1" w:rsidRPr="006001FB" w:rsidRDefault="002A5163" w:rsidP="00096AC1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195580"/>
              <wp:effectExtent l="0" t="0" r="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AC1" w:rsidRPr="002B5D42" w:rsidRDefault="00B20587" w:rsidP="00096AC1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096AC1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461A4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15.4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" filled="f" fillcolor="#c0504d" stroked="f" strokecolor="#4f81bd" strokeweight="2.25pt">
              <v:textbox inset=",0,,0">
                <w:txbxContent>
                  <w:p w:rsidR="00096AC1" w:rsidRPr="002B5D42" w:rsidRDefault="00B20587" w:rsidP="00096AC1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096AC1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A461A4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D0" w:rsidRDefault="00510FD0" w:rsidP="00096AC1">
      <w:r>
        <w:separator/>
      </w:r>
    </w:p>
  </w:footnote>
  <w:footnote w:type="continuationSeparator" w:id="0">
    <w:p w:rsidR="00510FD0" w:rsidRDefault="00510FD0" w:rsidP="0009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46A94"/>
    <w:rsid w:val="00053809"/>
    <w:rsid w:val="00055A8A"/>
    <w:rsid w:val="000562EB"/>
    <w:rsid w:val="0007375A"/>
    <w:rsid w:val="00083AE0"/>
    <w:rsid w:val="00094CA0"/>
    <w:rsid w:val="00096AC1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402A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A5163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5EDC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A2257"/>
    <w:rsid w:val="004B0C7D"/>
    <w:rsid w:val="004C0FD2"/>
    <w:rsid w:val="004F7A41"/>
    <w:rsid w:val="00510FD0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57BE1"/>
    <w:rsid w:val="00682D63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461A4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0587"/>
    <w:rsid w:val="00B2773E"/>
    <w:rsid w:val="00B527BB"/>
    <w:rsid w:val="00B538BD"/>
    <w:rsid w:val="00B62EC0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a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b"/>
    <w:uiPriority w:val="99"/>
    <w:unhideWhenUsed/>
    <w:rsid w:val="00096AC1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Нижний колонтитул Знак"/>
    <w:basedOn w:val="a1"/>
    <w:link w:val="a"/>
    <w:uiPriority w:val="99"/>
    <w:rsid w:val="00096AC1"/>
    <w:rPr>
      <w:rFonts w:ascii="Calibri" w:eastAsia="Calibri" w:hAnsi="Calibri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82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a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b"/>
    <w:uiPriority w:val="99"/>
    <w:unhideWhenUsed/>
    <w:rsid w:val="00096AC1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Нижний колонтитул Знак"/>
    <w:basedOn w:val="a1"/>
    <w:link w:val="a"/>
    <w:uiPriority w:val="99"/>
    <w:rsid w:val="00096AC1"/>
    <w:rPr>
      <w:rFonts w:ascii="Calibri" w:eastAsia="Calibri" w:hAnsi="Calibri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8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7628-8268-4A54-80F0-882EE8AC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10093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3</cp:revision>
  <cp:lastPrinted>2018-11-22T05:17:00Z</cp:lastPrinted>
  <dcterms:created xsi:type="dcterms:W3CDTF">2019-01-12T09:56:00Z</dcterms:created>
  <dcterms:modified xsi:type="dcterms:W3CDTF">2019-01-12T10:33:00Z</dcterms:modified>
</cp:coreProperties>
</file>