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563FC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9792ADF" wp14:editId="486E93F7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563FC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563FC" w:rsidRPr="004436FB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563FC" w:rsidRPr="00D1697A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563FC" w:rsidRPr="00D1697A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F343C" wp14:editId="0EF3C2E8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3FC" w:rsidRPr="004436FB" w:rsidRDefault="003563FC" w:rsidP="003563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3563FC" w:rsidRPr="004436FB" w:rsidRDefault="003563FC" w:rsidP="00356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63FC" w:rsidRPr="00D1697A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563FC" w:rsidRPr="00D1697A" w:rsidRDefault="003563FC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563FC" w:rsidRPr="00D1697A" w:rsidRDefault="003563FC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563FC" w:rsidRPr="00D1697A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563FC" w:rsidRPr="00D1697A" w:rsidRDefault="003563FC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163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606" w:rsidRPr="00073606" w:rsidRDefault="00073606" w:rsidP="000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3FC" w:rsidRPr="007D3888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7D3888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388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388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7D3888">
        <w:rPr>
          <w:rFonts w:ascii="Times New Roman" w:eastAsia="Calibri" w:hAnsi="Times New Roman" w:cs="Times New Roman"/>
          <w:sz w:val="28"/>
          <w:szCs w:val="28"/>
          <w:lang w:val="tt-RU"/>
        </w:rPr>
        <w:t>Яңа Чәчкап</w:t>
      </w:r>
      <w:r w:rsidRPr="007D38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D3888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әктәпкәчә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3FC" w:rsidRPr="003563FC" w:rsidRDefault="003563FC" w:rsidP="00356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3563FC" w:rsidRPr="003563FC" w:rsidRDefault="003563FC" w:rsidP="00356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606" w:rsidRPr="003563FC" w:rsidRDefault="003563FC" w:rsidP="003563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мартындагы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28</w:t>
      </w:r>
      <w:r w:rsidRPr="003563F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</w:t>
      </w:r>
      <w:r>
        <w:rPr>
          <w:rFonts w:ascii="Times New Roman" w:eastAsia="Calibri" w:hAnsi="Times New Roman" w:cs="Times New Roman"/>
          <w:sz w:val="28"/>
          <w:szCs w:val="28"/>
        </w:rPr>
        <w:t>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Яңа Чәчкап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</w:t>
      </w:r>
      <w:r w:rsidR="000E1761">
        <w:rPr>
          <w:rFonts w:ascii="Times New Roman" w:eastAsia="Calibri" w:hAnsi="Times New Roman" w:cs="Times New Roman"/>
          <w:sz w:val="28"/>
          <w:szCs w:val="28"/>
        </w:rPr>
        <w:t>елем</w:t>
      </w:r>
      <w:proofErr w:type="spellEnd"/>
      <w:r w:rsidR="000E1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1761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="000E1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1761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="000E1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1761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="000E17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Яңа Чәчкап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63FC" w:rsidRPr="003563FC" w:rsidRDefault="00C72CBC" w:rsidP="003563FC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2.4 пункт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ын</w:t>
      </w:r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563FC" w:rsidRPr="003563FC" w:rsidRDefault="003563FC" w:rsidP="003563FC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«2.4.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lastRenderedPageBreak/>
        <w:t>килә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3563FC" w:rsidRPr="003563FC" w:rsidRDefault="003563FC" w:rsidP="003563FC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1.2. 2.5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63FC" w:rsidRDefault="003563FC" w:rsidP="003563FC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«2.5.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тәрбия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чорында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балигъ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булмаганнарга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беренчел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медик-санитар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күрсәтүне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сәламәтлек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өлкәсендә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хакимият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тарафыннан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шартнамә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Беренчел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медик-санитар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сәламәтлек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өлкәсендә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законнар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билгеләнгән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медицина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тарафыннан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күрсәтелә.Тө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программаларын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ашыручы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укучыларга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беренчел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медик-санитар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күрсәткәндә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түләүсез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медицина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оешмасына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күрсәтелгән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күрсәтү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шартлар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бирергә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тиеш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63FC" w:rsidRP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3563FC" w:rsidRP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4.14 пунктын үзгәртергә һәм киләсе редакциядә бәян итергә: </w:t>
      </w:r>
    </w:p>
    <w:p w:rsidR="003563FC" w:rsidRP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3563FC">
        <w:rPr>
          <w:rFonts w:ascii="Times New Roman" w:eastAsia="Calibri" w:hAnsi="Times New Roman" w:cs="Times New Roman"/>
          <w:sz w:val="28"/>
          <w:szCs w:val="28"/>
          <w:lang w:val="tt-RU"/>
        </w:rPr>
        <w:t>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lang w:val="tt-RU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керә».</w:t>
      </w:r>
    </w:p>
    <w:p w:rsidR="003563FC" w:rsidRDefault="003563FC" w:rsidP="0007360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lang w:val="tt-RU"/>
        </w:rPr>
        <w:t>1.6. Уставның 5.</w:t>
      </w:r>
      <w:r w:rsidR="007D3888">
        <w:rPr>
          <w:rFonts w:ascii="Times New Roman" w:eastAsia="Calibri" w:hAnsi="Times New Roman" w:cs="Times New Roman"/>
          <w:sz w:val="28"/>
          <w:szCs w:val="28"/>
          <w:lang w:val="tt-RU"/>
        </w:rPr>
        <w:t>3.10 пунктын төшереп калдырырга.</w:t>
      </w:r>
    </w:p>
    <w:p w:rsidR="00073606" w:rsidRPr="003563FC" w:rsidRDefault="00073606" w:rsidP="0007360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9350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 пунктын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тү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бәндәге редакциядә бәян итәргә:</w:t>
      </w:r>
    </w:p>
    <w:p w:rsidR="008573AD" w:rsidRDefault="00073606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0583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="008573AD" w:rsidRPr="008573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3563FC" w:rsidRDefault="00073606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5.7.2. 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Уставның 5.7.1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3563FC" w:rsidRPr="003563FC" w:rsidRDefault="00073606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5.7.3. </w:t>
      </w:r>
      <w:r w:rsidR="003563FC"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3563FC" w:rsidRP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3563FC" w:rsidRP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058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3563FC" w:rsidRPr="003563FC" w:rsidRDefault="00073606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3563FC" w:rsidRDefault="003563FC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Тиешле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шартлар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очракта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айлык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балаларны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кабул </w:t>
      </w:r>
      <w:proofErr w:type="spellStart"/>
      <w:proofErr w:type="gram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мөмкин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073606" w:rsidRPr="00073606" w:rsidRDefault="00073606" w:rsidP="003563F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736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r w:rsidRPr="000736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«Татарстан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Буа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 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Яңа Чәчкап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бакчасы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мәктәпкәчә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белем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бирү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дениесе</w:t>
      </w:r>
      <w:proofErr w:type="spellEnd"/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мөдире</w:t>
      </w:r>
      <w:proofErr w:type="spellEnd"/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0583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А.М. Хәсә</w:t>
      </w:r>
      <w:r w:rsid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новага</w:t>
      </w:r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мөрәҗәгать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итүче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булып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чыгыш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ясау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вәкаләтле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органда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учреждение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Уставын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дәүләт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теркәвенә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буенча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кирәкле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гамәлләрне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башкару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вәкаләтен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бирергә</w:t>
      </w:r>
      <w:proofErr w:type="spellEnd"/>
      <w:r w:rsidR="003563FC" w:rsidRPr="00356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563FC" w:rsidRPr="0020583B" w:rsidRDefault="003563FC" w:rsidP="003563FC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20583B">
        <w:rPr>
          <w:rFonts w:ascii="Times New Roman" w:eastAsia="Calibri" w:hAnsi="Times New Roman" w:cs="Times New Roman"/>
          <w:sz w:val="28"/>
          <w:szCs w:val="28"/>
          <w:lang w:val="tt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3563FC" w:rsidRPr="0020583B" w:rsidRDefault="003563FC" w:rsidP="003563FC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20583B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3563FC" w:rsidRPr="0020583B" w:rsidRDefault="003563FC" w:rsidP="003563FC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73606" w:rsidRPr="00073606" w:rsidRDefault="003563FC" w:rsidP="003563FC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Р.Р.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073606" w:rsidRPr="00073606" w:rsidRDefault="00073606" w:rsidP="0007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bookmarkEnd w:id="0"/>
    <w:p w:rsidR="009A7919" w:rsidRDefault="009A7919"/>
    <w:sectPr w:rsidR="009A7919" w:rsidSect="001C1F8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E6" w:rsidRDefault="00FC04E6">
      <w:pPr>
        <w:spacing w:after="0" w:line="240" w:lineRule="auto"/>
      </w:pPr>
      <w:r>
        <w:separator/>
      </w:r>
    </w:p>
  </w:endnote>
  <w:endnote w:type="continuationSeparator" w:id="0">
    <w:p w:rsidR="00FC04E6" w:rsidRDefault="00FC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E6" w:rsidRDefault="00FC04E6">
      <w:pPr>
        <w:spacing w:after="0" w:line="240" w:lineRule="auto"/>
      </w:pPr>
      <w:r>
        <w:separator/>
      </w:r>
    </w:p>
  </w:footnote>
  <w:footnote w:type="continuationSeparator" w:id="0">
    <w:p w:rsidR="00FC04E6" w:rsidRDefault="00FC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84" w:rsidRDefault="000736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3888">
      <w:rPr>
        <w:noProof/>
      </w:rPr>
      <w:t>3</w:t>
    </w:r>
    <w:r>
      <w:fldChar w:fldCharType="end"/>
    </w:r>
  </w:p>
  <w:p w:rsidR="001C1F84" w:rsidRDefault="00FC0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CA"/>
    <w:rsid w:val="00073606"/>
    <w:rsid w:val="000E1761"/>
    <w:rsid w:val="00167923"/>
    <w:rsid w:val="0020583B"/>
    <w:rsid w:val="003563FC"/>
    <w:rsid w:val="006161CA"/>
    <w:rsid w:val="00684D81"/>
    <w:rsid w:val="007D3888"/>
    <w:rsid w:val="008573AD"/>
    <w:rsid w:val="009350E9"/>
    <w:rsid w:val="009A7919"/>
    <w:rsid w:val="00AB74DE"/>
    <w:rsid w:val="00C72CBC"/>
    <w:rsid w:val="00F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36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36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9A88-C2FD-4B5F-949D-AE44ED05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9</cp:revision>
  <dcterms:created xsi:type="dcterms:W3CDTF">2020-05-20T11:29:00Z</dcterms:created>
  <dcterms:modified xsi:type="dcterms:W3CDTF">2020-05-21T13:36:00Z</dcterms:modified>
</cp:coreProperties>
</file>