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6E" w:rsidRPr="0051096E" w:rsidRDefault="0051096E" w:rsidP="005109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096E" w:rsidRPr="0051096E" w:rsidRDefault="0051096E" w:rsidP="005109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096E" w:rsidRPr="0051096E" w:rsidRDefault="0051096E" w:rsidP="005109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854D96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4D96" w:rsidRPr="004436FB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854D96" w:rsidRPr="004436FB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854D96" w:rsidRPr="004436FB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854D96" w:rsidRPr="004436FB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854D96" w:rsidRPr="004436FB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4D96" w:rsidRPr="004436FB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4B33A0F8" wp14:editId="16B31FD1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4D96" w:rsidRPr="004436FB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854D96" w:rsidRPr="004436FB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854D96" w:rsidRPr="004436FB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854D96" w:rsidRPr="004436FB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854D96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854D96" w:rsidRPr="004436FB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854D96" w:rsidRPr="00D1697A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854D96" w:rsidRPr="00D1697A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D8409B" wp14:editId="3333768A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4D96" w:rsidRPr="004436FB" w:rsidRDefault="00854D96" w:rsidP="00854D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854D96" w:rsidRPr="004436FB" w:rsidRDefault="00854D96" w:rsidP="00854D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4D96" w:rsidRPr="00D1697A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854D96" w:rsidRPr="00D1697A" w:rsidRDefault="00854D96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854D96" w:rsidRPr="00D1697A" w:rsidRDefault="00854D96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854D96" w:rsidRPr="00D1697A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54D96" w:rsidRPr="00D1697A" w:rsidRDefault="00854D9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184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854D96" w:rsidRPr="00073606" w:rsidRDefault="00854D96" w:rsidP="00854D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096E" w:rsidRPr="0051096E" w:rsidRDefault="0051096E" w:rsidP="005109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096E" w:rsidRPr="0051096E" w:rsidRDefault="0051096E" w:rsidP="005109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096E" w:rsidRPr="0051096E" w:rsidRDefault="0051096E" w:rsidP="005109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096E" w:rsidRPr="0051096E" w:rsidRDefault="0051096E" w:rsidP="005109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D96" w:rsidRDefault="00854D96" w:rsidP="00854D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854D96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4D96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4D96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</w:p>
    <w:p w:rsidR="00854D96" w:rsidRDefault="00854D96" w:rsidP="00854D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Буа шәhәренең гомуми үстерү төренә караган </w:t>
      </w:r>
    </w:p>
    <w:p w:rsidR="00854D96" w:rsidRDefault="00854D96" w:rsidP="00854D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мәктәпкәчә белем бирә торган «Светофорик» </w:t>
      </w:r>
    </w:p>
    <w:p w:rsidR="00854D96" w:rsidRDefault="00854D96" w:rsidP="00854D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балалар бакчасы» муниципаль бюджет учреждениясе </w:t>
      </w:r>
    </w:p>
    <w:p w:rsidR="00854D96" w:rsidRPr="00854D96" w:rsidRDefault="00854D96" w:rsidP="00854D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>Уставына үзгәрешләр кертү турында</w:t>
      </w:r>
    </w:p>
    <w:p w:rsidR="00854D96" w:rsidRPr="00854D96" w:rsidRDefault="00854D96" w:rsidP="00854D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854D96" w:rsidRPr="00DE155F" w:rsidRDefault="00854D96" w:rsidP="00854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E155F">
        <w:rPr>
          <w:rFonts w:ascii="Times New Roman" w:eastAsia="Calibri" w:hAnsi="Times New Roman" w:cs="Times New Roman"/>
          <w:sz w:val="28"/>
          <w:szCs w:val="28"/>
          <w:lang w:val="tt-RU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51096E" w:rsidRPr="0051096E" w:rsidRDefault="00854D96" w:rsidP="00854D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155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854D96">
        <w:rPr>
          <w:rFonts w:ascii="Times New Roman" w:eastAsia="Calibri" w:hAnsi="Times New Roman" w:cs="Times New Roman"/>
          <w:sz w:val="28"/>
          <w:szCs w:val="28"/>
        </w:rPr>
        <w:t>КАРАР БИРӘ:</w:t>
      </w:r>
    </w:p>
    <w:p w:rsidR="00027FBD" w:rsidRPr="00854D96" w:rsidRDefault="0051096E" w:rsidP="00854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96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7FBD"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proofErr w:type="spellStart"/>
      <w:r w:rsidR="00027FBD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>
        <w:rPr>
          <w:rFonts w:ascii="Times New Roman" w:eastAsia="Calibri" w:hAnsi="Times New Roman" w:cs="Times New Roman"/>
          <w:sz w:val="28"/>
          <w:szCs w:val="28"/>
        </w:rPr>
        <w:t>комитетының</w:t>
      </w:r>
      <w:proofErr w:type="spellEnd"/>
      <w:r w:rsidR="00027FBD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027FBD"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7FBD"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7FBD">
        <w:rPr>
          <w:rFonts w:ascii="Times New Roman" w:eastAsia="Calibri" w:hAnsi="Times New Roman" w:cs="Times New Roman"/>
          <w:sz w:val="28"/>
          <w:szCs w:val="28"/>
          <w:lang w:val="tt-RU"/>
        </w:rPr>
        <w:t>октябрендәге</w:t>
      </w:r>
      <w:r w:rsid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7FBD">
        <w:rPr>
          <w:rFonts w:ascii="Times New Roman" w:eastAsia="Calibri" w:hAnsi="Times New Roman" w:cs="Times New Roman"/>
          <w:sz w:val="28"/>
          <w:szCs w:val="28"/>
          <w:lang w:val="tt-RU"/>
        </w:rPr>
        <w:t>312</w:t>
      </w:r>
      <w:r w:rsidR="00027FBD" w:rsidRPr="00027FB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ик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-п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шәhәренең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үстерү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төренә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караган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бирә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торга</w:t>
      </w:r>
      <w:r w:rsidR="00854D96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="00854D9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854D96">
        <w:rPr>
          <w:rFonts w:ascii="Times New Roman" w:eastAsia="Calibri" w:hAnsi="Times New Roman" w:cs="Times New Roman"/>
          <w:sz w:val="28"/>
          <w:szCs w:val="28"/>
        </w:rPr>
        <w:t>Светофорик</w:t>
      </w:r>
      <w:proofErr w:type="spellEnd"/>
      <w:r w:rsidR="00854D9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854D96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="00854D96">
        <w:rPr>
          <w:rFonts w:ascii="Times New Roman" w:eastAsia="Calibri" w:hAnsi="Times New Roman" w:cs="Times New Roman"/>
          <w:sz w:val="28"/>
          <w:szCs w:val="28"/>
        </w:rPr>
        <w:t>»</w:t>
      </w:r>
      <w:r w:rsid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учреждениясе</w:t>
      </w:r>
      <w:proofErr w:type="spellEnd"/>
      <w:r w:rsid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>
        <w:rPr>
          <w:rFonts w:ascii="Times New Roman" w:eastAsia="Calibri" w:hAnsi="Times New Roman" w:cs="Times New Roman"/>
          <w:sz w:val="28"/>
          <w:szCs w:val="28"/>
        </w:rPr>
        <w:t>Уставын</w:t>
      </w:r>
      <w:proofErr w:type="spellEnd"/>
      <w:r w:rsidR="00027FB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</w:t>
      </w:r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турында»гы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расланган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шәhәренең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үстерү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төренә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караган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бирә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торга</w:t>
      </w:r>
      <w:r w:rsidR="00854D96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="00854D9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854D96">
        <w:rPr>
          <w:rFonts w:ascii="Times New Roman" w:eastAsia="Calibri" w:hAnsi="Times New Roman" w:cs="Times New Roman"/>
          <w:sz w:val="28"/>
          <w:szCs w:val="28"/>
        </w:rPr>
        <w:t>Светофорик</w:t>
      </w:r>
      <w:proofErr w:type="spellEnd"/>
      <w:r w:rsidR="00854D9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854D96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4D96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="00854D96">
        <w:rPr>
          <w:rFonts w:ascii="Times New Roman" w:eastAsia="Calibri" w:hAnsi="Times New Roman" w:cs="Times New Roman"/>
          <w:sz w:val="28"/>
          <w:szCs w:val="28"/>
        </w:rPr>
        <w:t>»</w:t>
      </w:r>
      <w:r w:rsid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="00854D96" w:rsidRPr="00854D96">
        <w:rPr>
          <w:rFonts w:ascii="Times New Roman" w:eastAsia="Calibri" w:hAnsi="Times New Roman" w:cs="Times New Roman"/>
          <w:sz w:val="28"/>
          <w:szCs w:val="28"/>
        </w:rPr>
        <w:t>учреждениясе</w:t>
      </w:r>
      <w:proofErr w:type="spellEnd"/>
      <w:r w:rsidR="00854D96"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Уставына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алга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таб</w:t>
      </w:r>
      <w:proofErr w:type="gram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Устав)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үзгәрешләр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өстәмәләр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кертергә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1096E" w:rsidRPr="00027FBD" w:rsidRDefault="0051096E" w:rsidP="00510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1096E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2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«Предметы,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эшчәнлек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максатлары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программалары</w:t>
      </w:r>
      <w:proofErr w:type="spellEnd"/>
      <w:r w:rsidR="00027FBD" w:rsidRPr="00027FBD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027FBD" w:rsidRDefault="00027FBD" w:rsidP="00510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27FB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2.5 пунктын үзгәртергә һәм түбәндәге редакциядә бәян итәргә: </w:t>
      </w:r>
    </w:p>
    <w:p w:rsidR="0051096E" w:rsidRPr="00027FBD" w:rsidRDefault="00DE155F" w:rsidP="00510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27FBD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2.5 </w:t>
      </w:r>
      <w:r w:rsidR="00027FBD" w:rsidRPr="00027FBD">
        <w:rPr>
          <w:rFonts w:ascii="Times New Roman" w:eastAsia="Calibri" w:hAnsi="Times New Roman" w:cs="Times New Roman"/>
          <w:sz w:val="28"/>
          <w:szCs w:val="28"/>
          <w:lang w:val="tt-RU"/>
        </w:rPr>
        <w:t>Туклануны оештыру учреждениегә йөкләнә. Учреждениедә туклану санитар-эпидемиологик кагыйдәлә</w:t>
      </w:r>
      <w:proofErr w:type="gramStart"/>
      <w:r w:rsidR="00027FBD" w:rsidRPr="00027FBD">
        <w:rPr>
          <w:rFonts w:ascii="Times New Roman" w:eastAsia="Calibri" w:hAnsi="Times New Roman" w:cs="Times New Roman"/>
          <w:sz w:val="28"/>
          <w:szCs w:val="28"/>
          <w:lang w:val="tt-RU"/>
        </w:rPr>
        <w:t>р</w:t>
      </w:r>
      <w:proofErr w:type="gramEnd"/>
      <w:r w:rsidR="00027FBD" w:rsidRPr="00027FB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һәм нормалар нигезендә оештырыла һәм якынча </w:t>
      </w:r>
      <w:r w:rsidR="00027FBD" w:rsidRPr="00027FBD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ун көнлек меню нигезендә гамәлгә ашырыла. 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</w:t>
      </w:r>
      <w:r w:rsidR="00027FBD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:rsidR="0051096E" w:rsidRDefault="0081057E" w:rsidP="005109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7</w:t>
      </w:r>
      <w:r w:rsidR="00027FBD" w:rsidRPr="00027F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7FBD" w:rsidRPr="00027F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пунктын</w:t>
      </w:r>
      <w:proofErr w:type="spellEnd"/>
      <w:r w:rsidR="00027FBD" w:rsidRPr="00027F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7FBD" w:rsidRPr="00027F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төшереп</w:t>
      </w:r>
      <w:proofErr w:type="spellEnd"/>
      <w:r w:rsidR="00027FBD" w:rsidRPr="00027F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7FBD" w:rsidRPr="00027F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калдырырга</w:t>
      </w:r>
      <w:proofErr w:type="spellEnd"/>
      <w:r w:rsidR="00027FBD" w:rsidRPr="00027F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DE155F" w:rsidRPr="00DE155F" w:rsidRDefault="00DE155F" w:rsidP="005109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1.2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4</w:t>
      </w: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бүлек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8539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8539F0"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«</w:t>
      </w: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Учреждение белән идарә итү структурасы»:</w:t>
      </w:r>
    </w:p>
    <w:p w:rsidR="00027FBD" w:rsidRPr="00DE155F" w:rsidRDefault="00027FBD" w:rsidP="00027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E155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4.14 пунктын түбәндәге редакциядә бәян итергә: </w:t>
      </w:r>
    </w:p>
    <w:p w:rsidR="00027FBD" w:rsidRDefault="00027FBD" w:rsidP="00027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«4.14.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эшләү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027FBD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027FBD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карарны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мөдир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итә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Тәрбияләнүчеләр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аларның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ата-аналары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законлы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вәкилләре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хезмәткәрләре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мәнфәгатьләренә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кагылышлы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Нигезләмә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билгеләнә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1096E" w:rsidRPr="00DE155F" w:rsidRDefault="0051096E" w:rsidP="00027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DE155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1.3. </w:t>
      </w:r>
      <w:r w:rsidR="00027FBD"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 бүлек. «Белем бирү мөнәсәбәтләрендә катнашучыларның хокуклары һәм бурычлары»:</w:t>
      </w:r>
    </w:p>
    <w:p w:rsidR="0051096E" w:rsidRPr="00DE155F" w:rsidRDefault="00027FBD" w:rsidP="00510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 пунктын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тулыландырырга</w:t>
      </w: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һәм түбәндәге редакциядә бәян итергә: </w:t>
      </w:r>
    </w:p>
    <w:p w:rsidR="00027FBD" w:rsidRDefault="0051096E" w:rsidP="00027FB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«5.7.1. </w:t>
      </w:r>
      <w:r w:rsidR="00027FBD" w:rsidRPr="008573A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Учреждениедә җитәкче һәм педагогик хезмәткәрләр вазыйфалары белән беррәттән административ-хуҗалык, җитештерү, укыту-ярдәмче һәм башка хезмәткәрләрнең ярдәмче функцияләр башкаручы (алга таба – хезмәткәрләр) вазыйфалары да каралган. </w:t>
      </w:r>
    </w:p>
    <w:p w:rsidR="00027FBD" w:rsidRDefault="0051096E" w:rsidP="00027FB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5.7.2. </w:t>
      </w:r>
      <w:r w:rsidR="00027FBD"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027FBD" w:rsidRPr="00027FBD" w:rsidRDefault="0051096E" w:rsidP="0002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5.7.3. </w:t>
      </w:r>
      <w:r w:rsidR="00027FBD" w:rsidRPr="00DE15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Учреждение хезмәткәрләренең хокуклары һәм аларны социаль яклау чаралары Россия Федерациясе законнары, Устав һәм хезмәт шартнамәсе белән билгеләнә. </w:t>
      </w:r>
      <w:r w:rsidR="00027FBD"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proofErr w:type="spellStart"/>
      <w:r w:rsidR="00027FBD"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хезмәткәрләре</w:t>
      </w:r>
      <w:proofErr w:type="spellEnd"/>
      <w:r w:rsidR="00027FBD"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7FBD"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хокуклы</w:t>
      </w:r>
      <w:proofErr w:type="spellEnd"/>
      <w:r w:rsidR="00027FBD"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027FBD" w:rsidRPr="00027FBD" w:rsidRDefault="00027FBD" w:rsidP="00027F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учреждение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үдә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тәртиптә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7FBD" w:rsidRPr="00027FBD" w:rsidRDefault="00027FBD" w:rsidP="00027F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үзенең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һөнәри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намусын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абруен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эшлекле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репутациясен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яклау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7FBD" w:rsidRDefault="00027FBD" w:rsidP="00027F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куркынычсызлык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гигиена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</w:t>
      </w:r>
      <w:proofErr w:type="gram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әренә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җавап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бирә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шартлары</w:t>
      </w:r>
      <w:proofErr w:type="spellEnd"/>
      <w:r w:rsidRPr="00027FB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27FBD" w:rsidRPr="00027FBD" w:rsidRDefault="0018755E" w:rsidP="00854D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   </w:t>
      </w:r>
      <w:r w:rsidR="00027FBD" w:rsidRPr="00854D9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2. </w:t>
      </w:r>
      <w:r w:rsidR="00854D96" w:rsidRPr="00854D9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«Татарстан Республикасы Буа муниципаль районы Буа шәhәренең гомуми үстерү төренә караган мәктәпкәчә белем бирә торган «Светофорик» балалар бакчасы» муниципаль бюджет учреждениясе мөдире Г.И. Рәхмәтуллинага </w:t>
      </w:r>
      <w:r w:rsidR="00027FBD" w:rsidRPr="00854D9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027FBD" w:rsidRPr="00DE155F" w:rsidRDefault="00027FBD" w:rsidP="00027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      </w:t>
      </w: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3. Әлеге карар кул куелга</w:t>
      </w:r>
      <w:bookmarkStart w:id="0" w:name="_GoBack"/>
      <w:bookmarkEnd w:id="0"/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н көненнән үз көченә керә  һәм ТР Муниципаль берәмлекләр порталында Интернет  мәгълүмат- телекоммуникация челтәрендә  </w:t>
      </w:r>
      <w:hyperlink r:id="rId8" w:history="1">
        <w:r w:rsidRPr="00DE155F">
          <w:rPr>
            <w:rStyle w:val="a5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tt-RU"/>
          </w:rPr>
          <w:t>http://buinsk.tatarstan.ru</w:t>
        </w:r>
      </w:hyperlink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адресы буенча урнаштырылырга тиеш.</w:t>
      </w:r>
    </w:p>
    <w:p w:rsidR="00027FBD" w:rsidRPr="00027FBD" w:rsidRDefault="00027FBD" w:rsidP="00027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     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027FBD" w:rsidRDefault="00027FBD" w:rsidP="00027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</w:p>
    <w:p w:rsidR="00027FBD" w:rsidRPr="00027FBD" w:rsidRDefault="00027FBD" w:rsidP="00027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Башкарма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комитет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җ</w:t>
      </w:r>
      <w:proofErr w:type="gramStart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</w:t>
      </w:r>
      <w:proofErr w:type="gramEnd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әкчесе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Р.Р.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Камартдинов</w:t>
      </w:r>
      <w:proofErr w:type="spellEnd"/>
    </w:p>
    <w:p w:rsidR="00027FBD" w:rsidRPr="00027FBD" w:rsidRDefault="00027FBD" w:rsidP="00027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F7174" w:rsidRDefault="00BF7174" w:rsidP="00027FBD">
      <w:pPr>
        <w:spacing w:after="0" w:line="240" w:lineRule="auto"/>
        <w:ind w:firstLine="567"/>
        <w:jc w:val="both"/>
      </w:pPr>
    </w:p>
    <w:sectPr w:rsidR="00BF7174" w:rsidSect="00281B0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0C6" w:rsidRDefault="00D130C6">
      <w:pPr>
        <w:spacing w:after="0" w:line="240" w:lineRule="auto"/>
      </w:pPr>
      <w:r>
        <w:separator/>
      </w:r>
    </w:p>
  </w:endnote>
  <w:endnote w:type="continuationSeparator" w:id="0">
    <w:p w:rsidR="00D130C6" w:rsidRDefault="00D1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0C6" w:rsidRDefault="00D130C6">
      <w:pPr>
        <w:spacing w:after="0" w:line="240" w:lineRule="auto"/>
      </w:pPr>
      <w:r>
        <w:separator/>
      </w:r>
    </w:p>
  </w:footnote>
  <w:footnote w:type="continuationSeparator" w:id="0">
    <w:p w:rsidR="00D130C6" w:rsidRDefault="00D13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08" w:rsidRDefault="005109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2727E">
      <w:rPr>
        <w:noProof/>
      </w:rPr>
      <w:t>2</w:t>
    </w:r>
    <w:r>
      <w:fldChar w:fldCharType="end"/>
    </w:r>
  </w:p>
  <w:p w:rsidR="00281B08" w:rsidRDefault="00D130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80"/>
    <w:rsid w:val="00027FBD"/>
    <w:rsid w:val="0018755E"/>
    <w:rsid w:val="0051096E"/>
    <w:rsid w:val="0081057E"/>
    <w:rsid w:val="008539F0"/>
    <w:rsid w:val="00854D96"/>
    <w:rsid w:val="00AA1180"/>
    <w:rsid w:val="00BF7174"/>
    <w:rsid w:val="00D130C6"/>
    <w:rsid w:val="00D2727E"/>
    <w:rsid w:val="00DE155F"/>
    <w:rsid w:val="00E9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9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096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027FB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27FB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4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9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096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027FB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27FB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4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6</cp:revision>
  <dcterms:created xsi:type="dcterms:W3CDTF">2020-05-21T10:09:00Z</dcterms:created>
  <dcterms:modified xsi:type="dcterms:W3CDTF">2020-05-21T13:30:00Z</dcterms:modified>
</cp:coreProperties>
</file>