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C50A73" w:rsidRPr="00C50A73" w:rsidTr="000425B4">
        <w:trPr>
          <w:trHeight w:val="1500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C50A73" w:rsidRPr="00C50A73" w:rsidRDefault="00C50A73" w:rsidP="00C50A7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 БУИНСКОГО МУНИЦИПАЛЬНОГО РАЙОНА</w:t>
            </w:r>
          </w:p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2AD36B" wp14:editId="58FD922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</w:tcPr>
          <w:p w:rsidR="00C50A73" w:rsidRPr="00C50A73" w:rsidRDefault="00C50A73" w:rsidP="00C50A7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 МУНИЦИПАЛЬ</w:t>
            </w:r>
          </w:p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БАШКАРМА  КОМИТЕТЫ</w:t>
            </w:r>
          </w:p>
        </w:tc>
      </w:tr>
      <w:tr w:rsidR="00C50A73" w:rsidRPr="00C50A73" w:rsidTr="000425B4">
        <w:trPr>
          <w:trHeight w:val="479"/>
          <w:jc w:val="center"/>
        </w:trPr>
        <w:tc>
          <w:tcPr>
            <w:tcW w:w="9705" w:type="dxa"/>
            <w:gridSpan w:val="4"/>
            <w:shd w:val="clear" w:color="auto" w:fill="auto"/>
          </w:tcPr>
          <w:p w:rsidR="00C50A73" w:rsidRPr="00C50A73" w:rsidRDefault="00C50A73" w:rsidP="00C50A73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50A73" w:rsidRPr="00C50A73" w:rsidTr="000425B4">
        <w:trPr>
          <w:trHeight w:val="1080"/>
          <w:jc w:val="center"/>
        </w:trPr>
        <w:tc>
          <w:tcPr>
            <w:tcW w:w="4852" w:type="dxa"/>
            <w:gridSpan w:val="2"/>
            <w:shd w:val="clear" w:color="auto" w:fill="auto"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DD5251" wp14:editId="4FABA6F8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123825</wp:posOffset>
                      </wp:positionV>
                      <wp:extent cx="11620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0A73" w:rsidRPr="006E46E7" w:rsidRDefault="00C50A73" w:rsidP="00C50A73">
                                  <w:pPr>
                                    <w:jc w:val="center"/>
                                    <w:rPr>
                                      <w:sz w:val="20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r w:rsidR="006E46E7">
                                    <w:rPr>
                                      <w:sz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7pt;margin-top:9.75pt;width:91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wC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" filled="f" stroked="f" strokecolor="white">
                      <v:textbox inset="0,0,0,0">
                        <w:txbxContent>
                          <w:p w:rsidR="00C50A73" w:rsidRPr="006E46E7" w:rsidRDefault="00C50A73" w:rsidP="00C50A73">
                            <w:pPr>
                              <w:jc w:val="center"/>
                              <w:rPr>
                                <w:sz w:val="20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r w:rsidR="006E46E7">
                              <w:rPr>
                                <w:sz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0A73" w:rsidRPr="006E46E7" w:rsidRDefault="006E46E7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2020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C50A73" w:rsidRPr="00C50A73" w:rsidRDefault="00C50A73" w:rsidP="00C50A7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КАРАР</w:t>
            </w:r>
          </w:p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50A73" w:rsidRPr="006E46E7" w:rsidRDefault="006E46E7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 xml:space="preserve"> 409 Ик-п</w:t>
            </w:r>
          </w:p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C50A73" w:rsidRPr="00C50A73" w:rsidRDefault="00C50A73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08EA" w:rsidRDefault="00BF08EA" w:rsidP="00C5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8EA" w:rsidRDefault="00BF08EA" w:rsidP="00C5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бирү оешмаларында укучыларны йөртү өчен махсус </w:t>
      </w:r>
    </w:p>
    <w:p w:rsidR="00BF08EA" w:rsidRDefault="00BF08EA" w:rsidP="00C5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билгеләнгән автобуслар белән йөртүне оештыру </w:t>
      </w:r>
    </w:p>
    <w:p w:rsidR="00BF08EA" w:rsidRDefault="00BF08EA" w:rsidP="00C5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буенча муниципаль хезмәт күрсәтү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бәясе </w:t>
      </w:r>
    </w:p>
    <w:p w:rsidR="00BF08EA" w:rsidRDefault="00BF08EA" w:rsidP="00C5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нормативларын </w:t>
      </w: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раслау турында </w:t>
      </w:r>
    </w:p>
    <w:p w:rsidR="00BF08EA" w:rsidRDefault="00BF08EA" w:rsidP="00C5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F08EA" w:rsidRDefault="00BF08EA" w:rsidP="00C5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50A73" w:rsidRPr="00C50A73" w:rsidRDefault="00C50A73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C50A73" w:rsidRPr="00C50A73" w:rsidRDefault="00BF08EA" w:rsidP="00BF08EA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Министрлар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Кабинетының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июлендәге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545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укучыларын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балаларны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автобуслар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йөртүне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финанслау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нормативларын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хисаплап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чыгару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екомендацияләрне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карары нигезендә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</w:p>
    <w:p w:rsidR="00C50A73" w:rsidRPr="00C50A73" w:rsidRDefault="006E46E7" w:rsidP="00C50A73">
      <w:pPr>
        <w:spacing w:after="0" w:line="21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БИРӘ</w:t>
      </w:r>
      <w:r w:rsidR="00C50A73"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0A73" w:rsidRPr="00C50A73" w:rsidRDefault="00C50A73" w:rsidP="00C50A73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A73" w:rsidRPr="00BF08EA" w:rsidRDefault="00BF08EA" w:rsidP="00BF08E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2021 елга расларга, кушымта итеп бирелгән</w:t>
      </w:r>
      <w:r w:rsidR="00C50A73"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08EA" w:rsidRDefault="00BF08EA" w:rsidP="00C50A7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укучыларын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балаларны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автобуслар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йөртүне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бә</w:t>
      </w:r>
      <w:proofErr w:type="gram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</w:t>
      </w:r>
      <w:proofErr w:type="spellEnd"/>
      <w:proofErr w:type="gram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нормативлары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кушымта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1);</w:t>
      </w:r>
    </w:p>
    <w:p w:rsidR="00BF08EA" w:rsidRDefault="00C50A73" w:rsidP="00C50A7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F08EA"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Гомуми белем бирү оешмалары укучыларын балаларны йөртү өчен махсус билгеләнгән автобуслар белән йөртүне оештыру буенча муниципаль хезмәт күрсәтү </w:t>
      </w:r>
      <w:r w:rsid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бәясен </w:t>
      </w:r>
      <w:r w:rsidR="00BF08EA"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исәпләү тәртибе турында нигезләмә (2 нче кушымта).</w:t>
      </w:r>
    </w:p>
    <w:p w:rsidR="00C50A73" w:rsidRPr="00BF08EA" w:rsidRDefault="00BF08EA" w:rsidP="00BF08EA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2. </w:t>
      </w: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«Буа муниципаль районы Финанс-бюджет палатасы </w:t>
      </w: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МКУ (Әюпов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А.Р.</w:t>
      </w: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 тәэмин итәргә:</w:t>
      </w:r>
    </w:p>
    <w:p w:rsidR="00BF08EA" w:rsidRDefault="00BF08EA" w:rsidP="00C50A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оешмаларын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финанслау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пунктында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алаларны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автобуслар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оешмаларында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укучыларны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йөртүне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бә</w:t>
      </w:r>
      <w:proofErr w:type="gram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</w:t>
      </w:r>
      <w:proofErr w:type="spellEnd"/>
      <w:proofErr w:type="gram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нормативлары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6E7" w:rsidRPr="00BF08EA" w:rsidRDefault="00BF08EA" w:rsidP="006E4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="006E46E7"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 рәсми басылып чыккан көненнән үз көченә керә һәм 2021 елның 1 гыйнварыннан барлыкка килгән хокук мөнәсәбәтләренә кагыла.</w:t>
      </w:r>
    </w:p>
    <w:p w:rsidR="006E46E7" w:rsidRPr="00BF08EA" w:rsidRDefault="00BF08EA" w:rsidP="006E4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6E46E7"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 Әлеге карарның үтәлешен контрольдә тотуны Башкарма комитет җитәкчесенең социаль мәсьәләләр буенча урынбасары Л.Н.Садретдиновага йөкләргә.</w:t>
      </w:r>
    </w:p>
    <w:p w:rsidR="006E46E7" w:rsidRDefault="006E46E7" w:rsidP="006E4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вазыйфасын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башкаручы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И.Г.Гыйззәтов</w:t>
      </w:r>
      <w:proofErr w:type="spellEnd"/>
    </w:p>
    <w:p w:rsidR="006E46E7" w:rsidRDefault="006E46E7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6E46E7" w:rsidRDefault="006E46E7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6E46E7" w:rsidRDefault="006E46E7" w:rsidP="006E4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1 нче кушымта</w:t>
      </w:r>
    </w:p>
    <w:p w:rsidR="006E46E7" w:rsidRDefault="006E46E7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C50A73" w:rsidRPr="00C50A73" w:rsidRDefault="00C50A73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стоимости </w:t>
      </w:r>
    </w:p>
    <w:p w:rsidR="00C50A73" w:rsidRPr="00C50A73" w:rsidRDefault="00C50A73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на 2021 год</w:t>
      </w:r>
    </w:p>
    <w:p w:rsidR="00C50A73" w:rsidRPr="00C50A73" w:rsidRDefault="00C50A73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4"/>
        <w:gridCol w:w="3249"/>
        <w:gridCol w:w="3248"/>
      </w:tblGrid>
      <w:tr w:rsidR="00C50A73" w:rsidRPr="00C50A73" w:rsidTr="000425B4">
        <w:trPr>
          <w:trHeight w:val="337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3" w:rsidRPr="00C50A73" w:rsidRDefault="00BF08EA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Автотранспорт </w:t>
            </w:r>
            <w:proofErr w:type="spellStart"/>
            <w:r w:rsidRPr="00BF0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чарасы</w:t>
            </w:r>
            <w:proofErr w:type="spellEnd"/>
            <w:r w:rsidRPr="00BF0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моделе</w:t>
            </w:r>
            <w:proofErr w:type="spellEnd"/>
            <w:r w:rsidRPr="00BF0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атамасы</w:t>
            </w:r>
            <w:proofErr w:type="spellEnd"/>
          </w:p>
        </w:tc>
        <w:tc>
          <w:tcPr>
            <w:tcW w:w="3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3" w:rsidRPr="00C50A73" w:rsidRDefault="00BF08EA" w:rsidP="00BF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Ике ставкалы норматив күләме</w:t>
            </w:r>
            <w:r w:rsidR="00C50A73"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0A73" w:rsidRPr="00C50A73" w:rsidTr="000425B4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A73" w:rsidRPr="00C50A73" w:rsidRDefault="00C50A73" w:rsidP="00C5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3" w:rsidRPr="00C50A73" w:rsidRDefault="00BF08EA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</w:t>
            </w:r>
            <w:proofErr w:type="spellEnd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автотранспорт </w:t>
            </w:r>
            <w:proofErr w:type="spellStart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чарасына</w:t>
            </w:r>
            <w:proofErr w:type="spellEnd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ставка-</w:t>
            </w:r>
            <w:proofErr w:type="spellStart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елга</w:t>
            </w:r>
            <w:proofErr w:type="spellEnd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</w:t>
            </w:r>
            <w:proofErr w:type="spellEnd"/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73" w:rsidRPr="00C50A73" w:rsidRDefault="00BF08EA" w:rsidP="00BF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автотран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километрга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узган юлы</w:t>
            </w:r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ставкасы</w:t>
            </w:r>
            <w:proofErr w:type="spellEnd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F0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</w:t>
            </w:r>
            <w:proofErr w:type="spellEnd"/>
          </w:p>
        </w:tc>
      </w:tr>
      <w:tr w:rsidR="00C50A73" w:rsidRPr="00C50A73" w:rsidTr="000425B4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КАВЗ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149595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37,79</w:t>
            </w:r>
          </w:p>
        </w:tc>
      </w:tr>
      <w:tr w:rsidR="00C50A73" w:rsidRPr="00C50A73" w:rsidTr="000425B4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149072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37,72</w:t>
            </w:r>
          </w:p>
        </w:tc>
      </w:tr>
      <w:tr w:rsidR="00C50A73" w:rsidRPr="00C50A73" w:rsidTr="000425B4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 «Газель»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129791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30,61</w:t>
            </w:r>
          </w:p>
        </w:tc>
      </w:tr>
      <w:tr w:rsidR="00C50A73" w:rsidRPr="00C50A73" w:rsidTr="000425B4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УАЗ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129338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29,21</w:t>
            </w:r>
          </w:p>
        </w:tc>
      </w:tr>
      <w:tr w:rsidR="00C50A73" w:rsidRPr="00C50A73" w:rsidTr="000425B4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FIAT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132984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27,71</w:t>
            </w:r>
          </w:p>
        </w:tc>
      </w:tr>
      <w:tr w:rsidR="00C50A73" w:rsidRPr="00C50A73" w:rsidTr="000425B4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Peugeot</w:t>
            </w:r>
            <w:proofErr w:type="spellEnd"/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Boxer</w:t>
            </w:r>
            <w:proofErr w:type="spellEnd"/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138182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27,36</w:t>
            </w:r>
          </w:p>
        </w:tc>
      </w:tr>
      <w:tr w:rsidR="00C50A73" w:rsidRPr="00C50A73" w:rsidTr="000425B4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Ford</w:t>
            </w:r>
            <w:proofErr w:type="spellEnd"/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Transit</w:t>
            </w:r>
            <w:proofErr w:type="spellEnd"/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138440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30,79</w:t>
            </w:r>
          </w:p>
        </w:tc>
      </w:tr>
      <w:tr w:rsidR="00C50A73" w:rsidRPr="00C50A73" w:rsidTr="000425B4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Камаз</w:t>
            </w:r>
            <w:proofErr w:type="spellEnd"/>
            <w:r w:rsidRPr="00C50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Марко-Поло3297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151544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A73" w:rsidRPr="00C50A73" w:rsidRDefault="00C50A73" w:rsidP="00C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35,91</w:t>
            </w:r>
          </w:p>
        </w:tc>
      </w:tr>
    </w:tbl>
    <w:p w:rsidR="00C50A73" w:rsidRPr="00C50A73" w:rsidRDefault="00C50A73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A73" w:rsidRPr="00C50A73" w:rsidRDefault="00C50A73" w:rsidP="00C50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A73" w:rsidRPr="006E46E7" w:rsidRDefault="00C50A73" w:rsidP="00C50A73">
      <w:pPr>
        <w:spacing w:after="0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50A73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="006E46E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lastRenderedPageBreak/>
        <w:t>2 нче кушымта</w:t>
      </w:r>
    </w:p>
    <w:p w:rsidR="00C50A73" w:rsidRPr="00BF08EA" w:rsidRDefault="00BF08EA" w:rsidP="00C50A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>Гомуми белем бирү оешмалары укучыларын балаларны йөртү өчен махсус билгеләнгән автобуслар белән йөртүне оештыру буенча муниципаль хезмәт күрсәтү хакын исәпләү тәртибе турында нигезләмә</w:t>
      </w:r>
    </w:p>
    <w:p w:rsidR="00C50A73" w:rsidRPr="006E46E7" w:rsidRDefault="006E46E7" w:rsidP="00C50A73">
      <w:pPr>
        <w:numPr>
          <w:ilvl w:val="0"/>
          <w:numId w:val="2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6E46E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tt-RU" w:eastAsia="ru-RU"/>
        </w:rPr>
        <w:t>Гомуми нигезләмәләр</w:t>
      </w:r>
    </w:p>
    <w:p w:rsidR="00C50A73" w:rsidRPr="00C50A73" w:rsidRDefault="00BF08EA" w:rsidP="00BF08EA">
      <w:pPr>
        <w:numPr>
          <w:ilvl w:val="1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оешмаларында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укучыларны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балаларны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автобуслар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йөртүне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бәясен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</w:t>
      </w:r>
      <w:proofErr w:type="gram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әү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механизмын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билгели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BF08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50A73" w:rsidRPr="00C50A73" w:rsidRDefault="006E46E7" w:rsidP="006E46E7">
      <w:pPr>
        <w:numPr>
          <w:ilvl w:val="1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бәясе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бәясе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автотранспорт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чорында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чараларының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факттагы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8E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узган юлы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</w:t>
      </w:r>
      <w:proofErr w:type="gram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әнә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A73" w:rsidRPr="00C50A73" w:rsidRDefault="006E46E7" w:rsidP="006E46E7">
      <w:pPr>
        <w:numPr>
          <w:ilvl w:val="1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бә</w:t>
      </w:r>
      <w:proofErr w:type="gram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</w:t>
      </w:r>
      <w:proofErr w:type="spellEnd"/>
      <w:proofErr w:type="gram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ашкарма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раслана</w:t>
      </w:r>
      <w:proofErr w:type="spellEnd"/>
    </w:p>
    <w:p w:rsidR="00BF08EA" w:rsidRPr="00BF08EA" w:rsidRDefault="006E46E7" w:rsidP="00BF08EA">
      <w:pPr>
        <w:numPr>
          <w:ilvl w:val="1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хезмәт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күрсәтү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бәясен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формалаштырганда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хисап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чорында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(ай) автотранспорт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чараларының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фактик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йөгереше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турында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мәгълүмат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"ГЛОНАСС + 112"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һәм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Виалон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бердәм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дәүләт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мәгълүмат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системасы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мәгълүматлары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буенча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абул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ителә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Факттагы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айлык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узган юлы </w:t>
      </w:r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бу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ике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система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күрсәткечләренең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уртача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әһәмияте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буларак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билгеләнә</w:t>
      </w:r>
      <w:proofErr w:type="spellEnd"/>
      <w:r w:rsidRPr="006E46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50A73" w:rsidRPr="00C50A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</w:p>
    <w:p w:rsidR="00BF08EA" w:rsidRDefault="00BF08EA" w:rsidP="00BF08EA">
      <w:pPr>
        <w:spacing w:after="0" w:line="240" w:lineRule="auto"/>
        <w:ind w:left="568"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tt-RU" w:eastAsia="ru-RU"/>
        </w:rPr>
      </w:pPr>
    </w:p>
    <w:p w:rsidR="00BF08EA" w:rsidRDefault="00BF08EA" w:rsidP="00BF08EA">
      <w:pPr>
        <w:spacing w:after="0" w:line="240" w:lineRule="auto"/>
        <w:ind w:left="568"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tt-RU" w:eastAsia="ru-RU"/>
        </w:rPr>
      </w:pPr>
    </w:p>
    <w:p w:rsidR="006E46E7" w:rsidRPr="00BF08EA" w:rsidRDefault="006E46E7" w:rsidP="00BF08EA">
      <w:pPr>
        <w:spacing w:after="0" w:line="240" w:lineRule="auto"/>
        <w:ind w:left="568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08E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tt-RU" w:eastAsia="ru-RU"/>
        </w:rPr>
        <w:t>2. Муниципаль хезмәт күрсәтү бәясен исәпләү</w:t>
      </w:r>
    </w:p>
    <w:p w:rsidR="00C50A73" w:rsidRPr="006E46E7" w:rsidRDefault="006E46E7" w:rsidP="006E46E7">
      <w:pPr>
        <w:spacing w:after="0" w:line="240" w:lineRule="auto"/>
        <w:ind w:left="1288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</w:pPr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  <w:t xml:space="preserve">2.1. </w:t>
      </w:r>
      <w:r w:rsidRPr="006E46E7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val="tt-RU" w:eastAsia="ru-RU"/>
        </w:rPr>
        <w:t>i</w:t>
      </w:r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  <w:t>-</w:t>
      </w:r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  <w:t>муниципаль берәмлек муниципаль хезмәт күрсәтү бәясе түбәндәге формула буенча исәпләнә::</w:t>
      </w:r>
    </w:p>
    <w:p w:rsidR="00C50A73" w:rsidRPr="006E46E7" w:rsidRDefault="00C50A73" w:rsidP="00C50A7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E46E7">
        <w:rPr>
          <w:rFonts w:ascii="Times New Roman" w:eastAsia="Times New Roman" w:hAnsi="Times New Roman" w:cs="Times New Roman"/>
          <w:position w:val="-28"/>
          <w:sz w:val="28"/>
          <w:szCs w:val="28"/>
          <w:highlight w:val="yellow"/>
          <w:lang w:eastAsia="ru-RU"/>
        </w:rPr>
        <w:object w:dxaOrig="3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16.5pt;height:50.25pt" o:ole="">
            <v:imagedata r:id="rId7" o:title=""/>
          </v:shape>
          <o:OLEObject Type="Embed" ProgID="Equation.3" ShapeID="_x0000_i1032" DrawAspect="Content" ObjectID="_1669210299" r:id="rId8"/>
        </w:object>
      </w:r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</w:p>
    <w:p w:rsidR="00C50A73" w:rsidRPr="006E46E7" w:rsidRDefault="00C50A73" w:rsidP="00C50A73">
      <w:pPr>
        <w:spacing w:after="0" w:line="240" w:lineRule="auto"/>
        <w:ind w:left="851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50A73" w:rsidRPr="006E46E7" w:rsidRDefault="006E46E7" w:rsidP="00C50A7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  <w:t>монда</w:t>
      </w:r>
      <w:r w:rsidR="00C50A73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:</w:t>
      </w:r>
    </w:p>
    <w:p w:rsidR="00C50A73" w:rsidRPr="006E46E7" w:rsidRDefault="00C50A73" w:rsidP="00C50A7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E46E7">
        <w:rPr>
          <w:rFonts w:ascii="Times New Roman" w:eastAsia="Times New Roman" w:hAnsi="Times New Roman" w:cs="Times New Roman"/>
          <w:position w:val="-12"/>
          <w:sz w:val="28"/>
          <w:szCs w:val="28"/>
          <w:highlight w:val="yellow"/>
          <w:lang w:eastAsia="ru-RU"/>
        </w:rPr>
        <w:object w:dxaOrig="279" w:dyaOrig="380">
          <v:shape id="_x0000_i1025" type="#_x0000_t75" style="width:14.25pt;height:18.75pt" o:ole="">
            <v:imagedata r:id="rId9" o:title=""/>
          </v:shape>
          <o:OLEObject Type="Embed" ProgID="Equation.3" ShapeID="_x0000_i1025" DrawAspect="Content" ObjectID="_1669210300" r:id="rId10"/>
        </w:object>
      </w:r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муниципаль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хезмәт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күрсәтү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бә</w:t>
      </w:r>
      <w:proofErr w:type="gram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ясе</w:t>
      </w:r>
      <w:proofErr w:type="spellEnd"/>
      <w:proofErr w:type="gramEnd"/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C50A73" w:rsidRPr="006E46E7" w:rsidRDefault="00C50A73" w:rsidP="00C50A7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E46E7">
        <w:rPr>
          <w:rFonts w:ascii="Times New Roman" w:eastAsia="Times New Roman" w:hAnsi="Times New Roman" w:cs="Times New Roman"/>
          <w:position w:val="-16"/>
          <w:sz w:val="28"/>
          <w:szCs w:val="28"/>
          <w:highlight w:val="yellow"/>
          <w:lang w:eastAsia="ru-RU"/>
        </w:rPr>
        <w:object w:dxaOrig="440" w:dyaOrig="420">
          <v:shape id="_x0000_i1026" type="#_x0000_t75" style="width:21.75pt;height:21pt" o:ole="">
            <v:imagedata r:id="rId11" o:title=""/>
          </v:shape>
          <o:OLEObject Type="Embed" ProgID="Equation.3" ShapeID="_x0000_i1026" DrawAspect="Content" ObjectID="_1669210301" r:id="rId12"/>
        </w:object>
      </w:r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- </w:t>
      </w:r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автотранспорт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чараларының</w:t>
      </w:r>
      <w:proofErr w:type="spellEnd"/>
      <w:r w:rsid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m-километр </w:t>
      </w:r>
      <w:proofErr w:type="spellStart"/>
      <w:r w:rsid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моделе</w:t>
      </w:r>
      <w:proofErr w:type="spellEnd"/>
      <w:r w:rsid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фактик</w:t>
      </w:r>
      <w:proofErr w:type="spellEnd"/>
      <w:r w:rsid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6E46E7"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  <w:t>узган юлы</w:t>
      </w:r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C50A73" w:rsidRPr="00C50A73" w:rsidRDefault="00C50A73" w:rsidP="00C50A7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E7">
        <w:rPr>
          <w:rFonts w:ascii="Times New Roman" w:eastAsia="Times New Roman" w:hAnsi="Times New Roman" w:cs="Times New Roman"/>
          <w:position w:val="-16"/>
          <w:sz w:val="28"/>
          <w:szCs w:val="28"/>
          <w:highlight w:val="yellow"/>
          <w:lang w:eastAsia="ru-RU"/>
        </w:rPr>
        <w:object w:dxaOrig="700" w:dyaOrig="420">
          <v:shape id="_x0000_i1027" type="#_x0000_t75" style="width:35.25pt;height:21pt" o:ole="">
            <v:imagedata r:id="rId13" o:title=""/>
          </v:shape>
          <o:OLEObject Type="Embed" ProgID="Equation.3" ShapeID="_x0000_i1027" DrawAspect="Content" ObjectID="_1669210302" r:id="rId14"/>
        </w:object>
      </w:r>
      <w:r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-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гомуми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белем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бирү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оешмалары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укучыларын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балаларны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йөртү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өчен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махсус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билгеләнгән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автобусларда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йөртүне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ставкасы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километрга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сумга</w:t>
      </w:r>
      <w:proofErr w:type="spellEnd"/>
      <w:r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46E7" w:rsidRDefault="00C50A73" w:rsidP="00C50A7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50A73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700" w:dyaOrig="400">
          <v:shape id="_x0000_i1028" type="#_x0000_t75" style="width:35.25pt;height:20.25pt" o:ole="">
            <v:imagedata r:id="rId15" o:title=""/>
          </v:shape>
          <o:OLEObject Type="Embed" ProgID="Equation.3" ShapeID="_x0000_i1028" DrawAspect="Content" ObjectID="_1669210303" r:id="rId16"/>
        </w:object>
      </w:r>
      <w:r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оешмалары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укучыларын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чарасы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автобуслар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йөртүне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ставкасы-сум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0A73" w:rsidRPr="00C50A73" w:rsidRDefault="00C50A73" w:rsidP="00C50A7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7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60" w:dyaOrig="380">
          <v:shape id="_x0000_i1029" type="#_x0000_t75" style="width:23.25pt;height:18.75pt" o:ole="">
            <v:imagedata r:id="rId17" o:title=""/>
          </v:shape>
          <o:OLEObject Type="Embed" ProgID="Equation.3" ShapeID="_x0000_i1029" DrawAspect="Content" ObjectID="_1669210304" r:id="rId18"/>
        </w:object>
      </w:r>
      <w:r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m-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моделе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</w:t>
      </w:r>
      <w:r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0A73" w:rsidRPr="00C50A73" w:rsidRDefault="00C50A73" w:rsidP="00C50A7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73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79" w:dyaOrig="240">
          <v:shape id="_x0000_i1030" type="#_x0000_t75" style="width:14.25pt;height:12pt" o:ole="">
            <v:imagedata r:id="rId19" o:title=""/>
          </v:shape>
          <o:OLEObject Type="Embed" ProgID="Equation.3" ShapeID="_x0000_i1030" DrawAspect="Content" ObjectID="_1669210305" r:id="rId20"/>
        </w:object>
      </w:r>
      <w:r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берәмлектә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кулланыла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моделе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атамасы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0A73" w:rsidRPr="00C50A73" w:rsidRDefault="00C50A73" w:rsidP="00C50A7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73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0" w:dyaOrig="300">
          <v:shape id="_x0000_i1031" type="#_x0000_t75" style="width:11.25pt;height:15pt" o:ole="">
            <v:imagedata r:id="rId21" o:title=""/>
          </v:shape>
          <o:OLEObject Type="Embed" ProgID="Equation.3" ShapeID="_x0000_i1031" DrawAspect="Content" ObjectID="_1669210306" r:id="rId22"/>
        </w:object>
      </w:r>
      <w:r w:rsidRPr="00C5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берәмлектә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кулланыла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автобуслар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модельләре</w:t>
      </w:r>
      <w:proofErr w:type="spellEnd"/>
      <w:r w:rsidR="006E46E7" w:rsidRPr="006E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саны.</w:t>
      </w:r>
    </w:p>
    <w:p w:rsidR="00455617" w:rsidRDefault="00BF08EA"/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9D2"/>
    <w:multiLevelType w:val="hybridMultilevel"/>
    <w:tmpl w:val="6F22CFA8"/>
    <w:lvl w:ilvl="0" w:tplc="EF288AE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A197C96"/>
    <w:multiLevelType w:val="hybridMultilevel"/>
    <w:tmpl w:val="B4F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00"/>
    <w:rsid w:val="00036B4D"/>
    <w:rsid w:val="002A7212"/>
    <w:rsid w:val="00310D00"/>
    <w:rsid w:val="006E46E7"/>
    <w:rsid w:val="00BF08EA"/>
    <w:rsid w:val="00C5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A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4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A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2020-12-11T11:22:00Z</dcterms:created>
  <dcterms:modified xsi:type="dcterms:W3CDTF">2020-12-11T13:45:00Z</dcterms:modified>
</cp:coreProperties>
</file>