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948B1" w:rsidRPr="001948B1" w:rsidTr="00D54C6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ТАТАРСТАН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ИСПОЛНИТЕЛЬНЫЙ КОМИТЕТ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БУИНСКОГО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 РАЙОНА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576B85D" wp14:editId="268B9111">
                  <wp:extent cx="720725" cy="90360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ТАТАРСТАН РЕСПУБЛИКАСЫ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БУА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 РАЙОНЫ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БАШКАРМА КОМИТЕТЫ</w:t>
            </w: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</w:tr>
      <w:tr w:rsidR="001948B1" w:rsidRPr="001948B1" w:rsidTr="00D54C62">
        <w:tblPrEx>
          <w:tblCellMar>
            <w:bottom w:w="0" w:type="dxa"/>
          </w:tblCellMar>
        </w:tblPrEx>
        <w:trPr>
          <w:gridAfter w:val="1"/>
          <w:wAfter w:w="81" w:type="dxa"/>
          <w:trHeight w:val="1357"/>
        </w:trPr>
        <w:tc>
          <w:tcPr>
            <w:tcW w:w="4852" w:type="dxa"/>
            <w:gridSpan w:val="2"/>
            <w:shd w:val="clear" w:color="auto" w:fill="auto"/>
          </w:tcPr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64F30" wp14:editId="4E98AF2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635" r="0" b="190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48B1" w:rsidRPr="007B2157" w:rsidRDefault="001948B1" w:rsidP="001948B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AC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iOMOGlhRLtvu++7H7tfu5+3X26/osj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OEtoA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1948B1" w:rsidRPr="007B2157" w:rsidRDefault="001948B1" w:rsidP="001948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48B1" w:rsidRPr="004A0FB0" w:rsidRDefault="004A0FB0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17.02.2021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948B1" w:rsidRPr="001948B1" w:rsidRDefault="001948B1" w:rsidP="001948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1948B1" w:rsidRPr="001948B1" w:rsidRDefault="001948B1" w:rsidP="001948B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948B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КАРАР</w:t>
            </w:r>
          </w:p>
          <w:p w:rsidR="001948B1" w:rsidRPr="001948B1" w:rsidRDefault="001948B1" w:rsidP="0019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948B1" w:rsidRPr="004A0FB0" w:rsidRDefault="001948B1" w:rsidP="004A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 w:rsidRPr="001948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r w:rsidR="004A0F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48 Бк-к</w:t>
            </w:r>
          </w:p>
        </w:tc>
      </w:tr>
    </w:tbl>
    <w:p w:rsidR="001948B1" w:rsidRPr="001948B1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948B1" w:rsidRPr="001948B1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948B1" w:rsidRPr="00017008" w:rsidRDefault="004A0FB0" w:rsidP="00463736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2021 </w:t>
      </w:r>
      <w:proofErr w:type="spellStart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елга</w:t>
      </w:r>
      <w:proofErr w:type="spellEnd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2022, 2023 </w:t>
      </w:r>
      <w:proofErr w:type="spellStart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еллар</w:t>
      </w:r>
      <w:proofErr w:type="spellEnd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план </w:t>
      </w:r>
      <w:proofErr w:type="spellStart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чорына</w:t>
      </w:r>
      <w:proofErr w:type="spellEnd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Т</w:t>
      </w:r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>атарстан Республикасы Буа муниципаль районының муниципаль җир контроле өлкәсендә мәҗбүри талә</w:t>
      </w:r>
      <w:proofErr w:type="gramStart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>пл</w:t>
      </w:r>
      <w:proofErr w:type="gramEnd"/>
      <w:r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>әрне бозуларны профилактикалау программасын раслау турында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4A0FB0" w:rsidRPr="00017008" w:rsidRDefault="004A0FB0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«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Дәүләт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күзәтчелеген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ашырганда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юридик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затларның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индивидуаль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эшкуарларның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хокукларын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яклау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» 2008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26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декабрендәге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294-ФЗ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номерлы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Федераль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законның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9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статьясындагы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8.2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статьясына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11.3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өлеше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нигезендә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Россия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Федерациясе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Җир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кодексы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а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районы»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берәмлеге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Уставына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таянып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Татарстан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Б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ашкарма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комитеты</w:t>
      </w:r>
      <w:proofErr w:type="gramEnd"/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4A0FB0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val="tt-RU" w:eastAsia="ru-RU"/>
        </w:rPr>
        <w:t>КАРАР БИРӘ</w:t>
      </w:r>
      <w:r w:rsidR="001948B1" w:rsidRPr="00017008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4A0FB0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 </w:t>
      </w:r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2021 </w:t>
      </w:r>
      <w:proofErr w:type="spellStart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елга</w:t>
      </w:r>
      <w:proofErr w:type="spellEnd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2022, 2023 </w:t>
      </w:r>
      <w:proofErr w:type="spellStart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еллар</w:t>
      </w:r>
      <w:proofErr w:type="spellEnd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план </w:t>
      </w:r>
      <w:proofErr w:type="spellStart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>чорына</w:t>
      </w:r>
      <w:proofErr w:type="spellEnd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Т</w:t>
      </w:r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>атарстан Республикасы Буа муниципаль районының муниципаль җир контроле өлкәсендә мәҗбүри талә</w:t>
      </w:r>
      <w:proofErr w:type="gramStart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>пл</w:t>
      </w:r>
      <w:proofErr w:type="gramEnd"/>
      <w:r w:rsidR="00463736" w:rsidRPr="00017008">
        <w:rPr>
          <w:rFonts w:ascii="Times New Roman" w:eastAsiaTheme="minorEastAsia" w:hAnsi="Times New Roman" w:cs="Times New Roman"/>
          <w:bCs/>
          <w:color w:val="000000" w:themeColor="text1"/>
          <w:sz w:val="26"/>
          <w:szCs w:val="26"/>
          <w:lang w:val="tt-RU" w:eastAsia="ru-RU"/>
        </w:rPr>
        <w:t xml:space="preserve">әрне бозуларны профилактикалау программасын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Кушымта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расларга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2.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Әлеге карарны Татарстан Республикасы хокукый мәгълүматының рәсми порталында </w:t>
      </w:r>
      <w:hyperlink r:id="rId9" w:history="1">
        <w:r w:rsidR="004A0FB0" w:rsidRPr="00017008">
          <w:rPr>
            <w:rStyle w:val="a7"/>
            <w:rFonts w:ascii="Times New Roman" w:eastAsiaTheme="minorEastAsia" w:hAnsi="Times New Roman" w:cs="Times New Roman"/>
            <w:sz w:val="26"/>
            <w:szCs w:val="26"/>
            <w:lang w:val="tt-RU" w:eastAsia="ru-RU"/>
          </w:rPr>
          <w:t>http://pravo.tatarstan.ru/</w:t>
        </w:r>
      </w:hyperlink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адресы буенча, шулай ук Татарстан Республикасы муниципаль берәмлекләре Порталында Интернет мәгълүмат-телекоммуникация челтәрендә </w:t>
      </w:r>
      <w:hyperlink r:id="rId10" w:history="1">
        <w:r w:rsidR="004A0FB0" w:rsidRPr="00017008">
          <w:rPr>
            <w:rStyle w:val="a7"/>
            <w:rFonts w:ascii="Times New Roman" w:eastAsiaTheme="minorEastAsia" w:hAnsi="Times New Roman" w:cs="Times New Roman"/>
            <w:sz w:val="26"/>
            <w:szCs w:val="26"/>
            <w:lang w:val="tt-RU" w:eastAsia="ru-RU"/>
          </w:rPr>
          <w:t>http://buinsk.tatarstan.ru</w:t>
        </w:r>
      </w:hyperlink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адресы буенча бастырып чыгарырга</w:t>
      </w:r>
      <w:r w:rsidR="004A0FB0" w:rsidRPr="00017008">
        <w:rPr>
          <w:lang w:val="tt-RU"/>
        </w:rPr>
        <w:t xml:space="preserve">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һәм ул  2021 елның 1 гыйнварыннан барлыкка килгән хокук мөнәсәбәтләренә кагыла. </w:t>
      </w:r>
    </w:p>
    <w:p w:rsidR="001948B1" w:rsidRPr="00017008" w:rsidRDefault="001948B1" w:rsidP="004A0FB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3.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Әлеге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карарның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үтәлешен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тикшереп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тотам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4A0FB0" w:rsidRPr="00017008" w:rsidRDefault="004A0FB0" w:rsidP="004A0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ТР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Башкарма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комитеты </w:t>
      </w:r>
    </w:p>
    <w:p w:rsidR="001948B1" w:rsidRPr="00017008" w:rsidRDefault="004A0FB0" w:rsidP="004A0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әкчесе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вазыйфаларын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башкаручы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А.Р. В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ә</w:t>
      </w:r>
      <w:proofErr w:type="spellStart"/>
      <w:r w:rsidR="001948B1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лиулов</w:t>
      </w:r>
      <w:proofErr w:type="spellEnd"/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1948B1" w:rsidRPr="00017008" w:rsidRDefault="001948B1" w:rsidP="00463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463736" w:rsidRPr="00017008" w:rsidRDefault="00463736" w:rsidP="0046373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                                   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Т</w:t>
      </w: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>Р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Буа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районы </w:t>
      </w:r>
    </w:p>
    <w:p w:rsidR="00463736" w:rsidRPr="00017008" w:rsidRDefault="00463736" w:rsidP="0046373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                                  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Башкарма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комитетының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</w:p>
    <w:p w:rsidR="00463736" w:rsidRPr="00017008" w:rsidRDefault="00463736" w:rsidP="0046373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                                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"___" __________ 2020 ел  </w:t>
      </w:r>
    </w:p>
    <w:p w:rsidR="00463736" w:rsidRPr="00017008" w:rsidRDefault="00463736" w:rsidP="0046373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                                   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___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номерлы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карарына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463736" w:rsidRPr="00017008" w:rsidRDefault="00463736" w:rsidP="0046373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tt-RU" w:eastAsia="ru-RU"/>
        </w:rPr>
        <w:t xml:space="preserve">                                   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  <w:t>кушымта</w:t>
      </w:r>
      <w:proofErr w:type="spellEnd"/>
    </w:p>
    <w:p w:rsidR="001948B1" w:rsidRPr="00017008" w:rsidRDefault="001948B1" w:rsidP="00463736">
      <w:pPr>
        <w:widowControl w:val="0"/>
        <w:autoSpaceDE w:val="0"/>
        <w:autoSpaceDN w:val="0"/>
        <w:adjustRightInd w:val="0"/>
        <w:spacing w:after="0" w:line="240" w:lineRule="auto"/>
        <w:ind w:hanging="637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4A0FB0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Татарстан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Буа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районының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2021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елга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2022, 2023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елларның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планлы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чорына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җир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контроле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өлкәсендә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талә</w:t>
      </w:r>
      <w:proofErr w:type="gram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пл</w:t>
      </w:r>
      <w:proofErr w:type="gram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әрне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профилактикалау</w:t>
      </w:r>
      <w:proofErr w:type="spellEnd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программасы</w:t>
      </w:r>
      <w:proofErr w:type="spellEnd"/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1. </w:t>
      </w:r>
      <w:r w:rsidR="004A0FB0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>Гомуми нигезләмәләр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463736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Татарстан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Республикасы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районы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органнары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тарафыннан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башкарыла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профилактикалауның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әлеге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программасы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Дәүләт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күзәтчелеген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ашырганда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юридик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затларның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индивидуаль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эшкуарларның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хокукларын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яклау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» 2008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елның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26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декабрендәге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294-ФЗ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номерлы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Федераль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закон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нигезендә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эшләнгән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A0FB0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1.2.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Программа мәҗбүри таләпләрне үтәмәүнең конкрет сәбәпләрен һәм факторларын ачыклау һәм бетерү, шулай ук профилактика системасын булдыру һәм үстерүгә юнәлдерелгән профилактик чаралар комплексын үз эченә ала.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1.3.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Программа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контрольнең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түб</w:t>
      </w:r>
      <w:proofErr w:type="gram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әндәге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төре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тормышка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ашырыла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1948B1" w:rsidRPr="00017008" w:rsidRDefault="00463736" w:rsidP="001948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җир 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контроле</w:t>
      </w:r>
      <w:proofErr w:type="gramEnd"/>
      <w:r w:rsidR="001948B1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1.4. </w:t>
      </w:r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Профилактика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эшен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уздыруның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максатлары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булып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тора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1948B1" w:rsidRPr="00017008" w:rsidRDefault="00463736" w:rsidP="0046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к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онтроль-күзәтчелек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системасының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күренмәлелеген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арттыру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463736" w:rsidP="0046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җир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торак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законнары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өлкәсендә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кисәтү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463736" w:rsidP="0046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аркасында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гражданнарның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гомеренә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сәламәтлегенә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зыян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куркынычын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булдырмау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463736" w:rsidP="0046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б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улган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потенциаль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шартларны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сәбәпләрне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бозуга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куркынычы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янауга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яисә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гражданнарның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гомеренә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сәламәтлегенә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китерергә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сәләтле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факторларны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бетерү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463736" w:rsidP="0046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социаль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җаваплы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намуслы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з-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үзен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тотышына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мотивация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булдыру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463736" w:rsidP="0046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аңлату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1.5. </w:t>
      </w:r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эшнең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</w:t>
      </w:r>
      <w:proofErr w:type="gram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</w:t>
      </w:r>
      <w:proofErr w:type="spellEnd"/>
      <w:proofErr w:type="gram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максатларына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ирешү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өчен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түбәндәге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бурычларны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хәл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итәргә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кирәк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1948B1" w:rsidRPr="00017008" w:rsidRDefault="00017008" w:rsidP="000170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гражданнар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гомеренә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сәламәтлегенә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зыян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ихтималын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бәяләү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киметүгә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профилактик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эшләү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1948B1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бозуга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китерә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сәбәпләрне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факторларны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шартларны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ачыклау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янауны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бетерү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яисә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ысулларын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билгеләү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1948B1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контрольлек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</w:t>
      </w:r>
      <w:proofErr w:type="gram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үче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хокукый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грамоталыгы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дәрәҗәсен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күтәрү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шул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исәптән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аларны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үтәү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кирәкле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мәгълүматтан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файдалану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мөмкинлеген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тәэмин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юлы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017008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-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эшчәнлегендә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барлык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катнашучыларның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да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lastRenderedPageBreak/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бердәм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аңлау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1948B1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чараларны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юлы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профилактикалау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системасын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ныгыту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017008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контроль-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чыгымнарын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алынган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административ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йөкләнешне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1.6.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Программаның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максатчан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индикаторлары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сыйфаты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нәтиҗәлелеге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күрсәткечләре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булып</w:t>
      </w:r>
      <w:proofErr w:type="spellEnd"/>
      <w:r w:rsidR="004A0FB0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тора:</w:t>
      </w:r>
    </w:p>
    <w:p w:rsidR="001948B1" w:rsidRPr="00017008" w:rsidRDefault="001948B1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әрнең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эчтәлеге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лылыгы</w:t>
      </w:r>
      <w:r w:rsidR="00017008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1948B1" w:rsidP="004637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билгелелеге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аларны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органының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вазыйфаи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затлары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тарафыннан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бертөрле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аңлату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017008" w:rsidP="000170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Интернет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-телекоммуникация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челтәрендә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районының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әсми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сайтында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урнаштырылган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кабул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ителгән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әзерләнә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үзгәрешләр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мәгълүматтан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файдалану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мөмкинлеген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тәэмин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итүче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канәгать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булуы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1948B1" w:rsidP="004637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тикшерүлә</w:t>
      </w:r>
      <w:proofErr w:type="gram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spellEnd"/>
      <w:proofErr w:type="gram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уздырганда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хокуклары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аларны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уздыру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тәртибе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мәгълүмат</w:t>
      </w:r>
      <w:proofErr w:type="spellEnd"/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 xml:space="preserve"> бирү</w:t>
      </w:r>
      <w:r w:rsidR="00463736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4A0FB0" w:rsidP="004A0F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17008">
        <w:t xml:space="preserve"> 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 программа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4A0FB0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Программаны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тормышка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сан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ягыннан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профилактик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чаралар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саны тора.</w:t>
      </w:r>
    </w:p>
    <w:p w:rsidR="004A0FB0" w:rsidRPr="00017008" w:rsidRDefault="004A0FB0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2. </w:t>
      </w:r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Профилактик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чаралар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>план-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графигы</w:t>
      </w:r>
      <w:proofErr w:type="spellEnd"/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2490"/>
        <w:gridCol w:w="2325"/>
        <w:gridCol w:w="1635"/>
        <w:gridCol w:w="2250"/>
      </w:tblGrid>
      <w:tr w:rsidR="001948B1" w:rsidRPr="00017008" w:rsidTr="00D54C62"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1948B1" w:rsidRPr="00017008" w:rsidTr="00D54C6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т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/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б</w:t>
            </w:r>
            <w:proofErr w:type="gramEnd"/>
            <w:r w:rsidR="001948B1"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Чаралар исемлеге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Чаралар структурасы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Үтәү срогы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Җаваплылар</w:t>
            </w:r>
          </w:p>
        </w:tc>
      </w:tr>
      <w:tr w:rsidR="001948B1" w:rsidRPr="00017008" w:rsidTr="00D54C6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21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М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әгълүмат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ны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Татарстан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районының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«Интернет»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челтәрендә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рәсми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сайтында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мәҗбүри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пл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булган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үтәлешен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бәяләү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контроль предметы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булган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норматив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хокукый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актлар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исемлеген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даими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әвештә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кирәк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булган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актуальләштерү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4A0FB0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мөнәсәбәтләре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Тикшерү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планын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Ел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декабрьдә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мөнәсәбәтләре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Контроль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чаралар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нәтиҗәләрен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Квартал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саен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мөнәсәбәтләре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контрольне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гамәлгә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ашырганда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контроль-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күзәтчелек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эшчәнлегенең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хокук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куллану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практикасына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күзәтү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Квартал саен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«ТР Буа муниципаль районы муниципаль берәмлегенең Милек һәм җир мөнәсәбәтләре палатасы»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Мәҗбүри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таләпләрне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мәсьәлә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л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мәгълүмат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Контрольгә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алынган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субъектларга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закон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пл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мәсьәләсе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телефон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консультация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бирү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даими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«ТР Буа муниципаль районы муниципаль берәмлегенең Милек һәм җир мөнәсәбәтләре палатасы»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Киңәшмәлә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очрашулар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семинарлар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үткәргәндә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мәҗбүри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таләпләрне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аңлату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Ярты еллыкка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тапкыр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мөнәсәбәтләре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Массакүләм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әгълүмат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чаралары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белән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аңлату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эшләре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алып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бару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Елга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тапкыр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районы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берәмлегенең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Милек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җир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мөнәсәбәтләре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палатасы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Шәхси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мөрәҗәгатьтә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закон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таләпләрен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үтәү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мәсьәлә</w:t>
            </w:r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л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әре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консультацияләр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үткәрү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lastRenderedPageBreak/>
              <w:t xml:space="preserve">Кабул итү көннәрендә даими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 xml:space="preserve">«ТР Буа муниципаль районы муниципаль 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lastRenderedPageBreak/>
              <w:t>берәмлегенең Милек һәм җир мөнәсәбәтләре палатасы» 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Интернет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челтәрендәге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әсми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сайтта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контрольне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гамәлгә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ашыру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тәҗрибәсен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гомумиләштерү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Тикшерү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эшчәнлеге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буенча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мәгълүматны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гомумиләштерү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һәм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анализлау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Елга бер тапкыр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21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</w:t>
            </w:r>
            <w:r w:rsidR="00215336"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ТР Буа муниципаль районы муниципаль берәмлегенең Милек һәм җир мөнәсәбәтләре палатасы</w:t>
            </w: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 xml:space="preserve">» </w:t>
            </w:r>
            <w:r w:rsidR="00215336"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 xml:space="preserve"> МКУ</w:t>
            </w:r>
          </w:p>
        </w:tc>
      </w:tr>
      <w:tr w:rsidR="001948B1" w:rsidRPr="00017008" w:rsidTr="00D54C62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1948B1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контрольне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гамәлгә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ашыру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тәҗриб</w:t>
            </w:r>
            <w:proofErr w:type="gram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әсен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сайтка</w:t>
            </w:r>
            <w:proofErr w:type="spellEnd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урнаштыру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21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Ел саен декабрдә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48B1" w:rsidRPr="00017008" w:rsidRDefault="00215336" w:rsidP="0019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</w:pPr>
            <w:r w:rsidRPr="00017008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tt-RU" w:eastAsia="ru-RU"/>
              </w:rPr>
              <w:t>«ТР Буа муниципаль районы муниципаль берәмлегенең Милек һәм җир мөнәсәбәтләре палатасы»  МКУ</w:t>
            </w:r>
          </w:p>
        </w:tc>
      </w:tr>
    </w:tbl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</w:pPr>
    </w:p>
    <w:p w:rsidR="001948B1" w:rsidRPr="00017008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val="tt-RU" w:eastAsia="ru-RU"/>
        </w:rPr>
        <w:t xml:space="preserve"> </w:t>
      </w:r>
      <w:r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3.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Соңгы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нәтиҗәлә</w:t>
      </w:r>
      <w:proofErr w:type="gram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р</w:t>
      </w:r>
      <w:proofErr w:type="spellEnd"/>
      <w:proofErr w:type="gram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гамәлгә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ашырылган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чаралардан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социаль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һәм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икътисадый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файда</w:t>
      </w:r>
      <w:proofErr w:type="spellEnd"/>
      <w:r w:rsidR="00215336" w:rsidRPr="00017008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)</w:t>
      </w:r>
    </w:p>
    <w:p w:rsidR="00215336" w:rsidRPr="00017008" w:rsidRDefault="00215336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профилактикалауның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көтелә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социаль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нәтиҗәсенә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контролендәге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субъектларга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артык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административ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басым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ясау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гамәлгә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ашыру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мәсьәләләре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конструктив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хезмәттәшлек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шартларында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гына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ирешелергә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017008" w:rsidRDefault="00215336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Гамәлгә ашырылган чаралардан икътисадый файда</w:t>
      </w:r>
      <w:r w:rsidR="001948B1"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:</w:t>
      </w:r>
    </w:p>
    <w:p w:rsidR="001948B1" w:rsidRPr="00017008" w:rsidRDefault="00215336" w:rsidP="002153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а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дминистратив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басымны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рөхсәт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торган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очракларны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төгәл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дифференциацияләү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исәбенә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контроль-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эшчәнлегендә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катнашучыларның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ресурс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чыгымнарын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минимальләштерү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ярамаганлыгы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турында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кисәтүләрне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планнан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тыш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тикшерүне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уздыру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түгел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, ә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мөмкин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булган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очракларны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төгәл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һәм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максималь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нәтиҗәле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итеп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игълан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215336" w:rsidP="002153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пл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теркәгән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хокук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бозулар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санын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киметү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215336" w:rsidP="002153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түбән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хәвеф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val="tt-RU" w:eastAsia="ru-RU"/>
        </w:rPr>
        <w:t>ле</w:t>
      </w: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категориясенә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кертелгән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һә</w:t>
      </w:r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</w:t>
      </w:r>
      <w:proofErr w:type="spellEnd"/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тикшерүләрдән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азат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ителгән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субъектларының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санын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арттыру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1948B1" w:rsidRPr="00017008" w:rsidRDefault="00215336" w:rsidP="002153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муниципаль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органнары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белән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даими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хезмәттәшлеккә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җәлеп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ителгән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субъектларының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санын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арттыру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(контроль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астындагы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мәҗбүри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таләпләрне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үтәмәү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м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әсьәләләре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буенча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үзара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хезмәттәшлектән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тыш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1948B1" w:rsidRPr="00017008" w:rsidRDefault="00215336" w:rsidP="002153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Контроль-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күзәтчелек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органына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контрольлек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proofErr w:type="gram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ит</w:t>
      </w:r>
      <w:proofErr w:type="gram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үче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субъектларның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ышаныч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дәрәҗәсен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күтәрү</w:t>
      </w:r>
      <w:proofErr w:type="spellEnd"/>
      <w:r w:rsidRPr="00017008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948B1" w:rsidRPr="001948B1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p w:rsidR="001948B1" w:rsidRPr="001948B1" w:rsidRDefault="001948B1" w:rsidP="001948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</w:p>
    <w:p w:rsidR="001948B1" w:rsidRPr="001948B1" w:rsidRDefault="001948B1" w:rsidP="001948B1">
      <w:pPr>
        <w:rPr>
          <w:rFonts w:eastAsiaTheme="minorEastAsia"/>
          <w:sz w:val="26"/>
          <w:szCs w:val="26"/>
          <w:lang w:eastAsia="ru-RU"/>
        </w:rPr>
      </w:pPr>
    </w:p>
    <w:p w:rsidR="00455617" w:rsidRDefault="008D4688"/>
    <w:sectPr w:rsidR="00455617" w:rsidSect="006623AB">
      <w:footerReference w:type="default" r:id="rId11"/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88" w:rsidRDefault="008D4688">
      <w:pPr>
        <w:spacing w:after="0" w:line="240" w:lineRule="auto"/>
      </w:pPr>
      <w:r>
        <w:separator/>
      </w:r>
    </w:p>
  </w:endnote>
  <w:endnote w:type="continuationSeparator" w:id="0">
    <w:p w:rsidR="008D4688" w:rsidRDefault="008D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644651"/>
      <w:docPartObj>
        <w:docPartGallery w:val="Page Numbers (Bottom of Page)"/>
        <w:docPartUnique/>
      </w:docPartObj>
    </w:sdtPr>
    <w:sdtEndPr/>
    <w:sdtContent>
      <w:p w:rsidR="00F21E83" w:rsidRDefault="001948B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008">
          <w:rPr>
            <w:noProof/>
          </w:rPr>
          <w:t>2</w:t>
        </w:r>
        <w:r>
          <w:fldChar w:fldCharType="end"/>
        </w:r>
      </w:p>
    </w:sdtContent>
  </w:sdt>
  <w:p w:rsidR="00F21E83" w:rsidRDefault="008D46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88" w:rsidRDefault="008D4688">
      <w:pPr>
        <w:spacing w:after="0" w:line="240" w:lineRule="auto"/>
      </w:pPr>
      <w:r>
        <w:separator/>
      </w:r>
    </w:p>
  </w:footnote>
  <w:footnote w:type="continuationSeparator" w:id="0">
    <w:p w:rsidR="008D4688" w:rsidRDefault="008D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50E"/>
    <w:multiLevelType w:val="hybridMultilevel"/>
    <w:tmpl w:val="E2489E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528B75FA"/>
    <w:multiLevelType w:val="hybridMultilevel"/>
    <w:tmpl w:val="9242669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7E4452B0"/>
    <w:multiLevelType w:val="hybridMultilevel"/>
    <w:tmpl w:val="322E57E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88"/>
    <w:rsid w:val="00017008"/>
    <w:rsid w:val="00036B4D"/>
    <w:rsid w:val="001948B1"/>
    <w:rsid w:val="00215336"/>
    <w:rsid w:val="002218CE"/>
    <w:rsid w:val="002A7212"/>
    <w:rsid w:val="00463736"/>
    <w:rsid w:val="004A0FB0"/>
    <w:rsid w:val="00580CFB"/>
    <w:rsid w:val="008D4688"/>
    <w:rsid w:val="00D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48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948B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A0FB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A0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48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948B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B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A0FB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A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2021-02-18T12:26:00Z</dcterms:created>
  <dcterms:modified xsi:type="dcterms:W3CDTF">2021-02-25T08:47:00Z</dcterms:modified>
</cp:coreProperties>
</file>