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TEXT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</w:p>
    <w:p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ПРОЕКТ</w:t>
      </w:r>
    </w:p>
    <w:tbl>
      <w:tblPr>
        <w:tblpPr w:bottomFromText="0" w:horzAnchor="margin" w:leftFromText="180" w:rightFromText="180" w:tblpX="0" w:tblpY="1597" w:topFromText="0" w:vertAnchor="page"/>
        <w:tblW w:w="1020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7"/>
        <w:gridCol w:w="169"/>
        <w:gridCol w:w="1670"/>
        <w:gridCol w:w="3684"/>
        <w:gridCol w:w="426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39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021" w:hRule="atLeast"/>
        </w:trPr>
        <w:tc>
          <w:tcPr>
            <w:tcW w:w="4426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  <w:tc>
          <w:tcPr>
            <w:tcW w:w="5354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10B56F3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111760</wp:posOffset>
                      </wp:positionV>
                      <wp:extent cx="826135" cy="226695"/>
                      <wp:effectExtent l="0" t="3810" r="0" b="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stroked="f" style="position:absolute;margin-left:0.8pt;margin-top:8.8pt;width:64.95pt;height:17.75pt" wp14:anchorId="10B56F3D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tbl>
      <w:tblPr>
        <w:tblStyle w:val="aa"/>
        <w:tblW w:w="56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5"/>
      </w:tblGrid>
      <w:tr>
        <w:trPr/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 xml:space="preserve">О внесении изменений в Административный </w:t>
            </w:r>
          </w:p>
          <w:p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>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Буинском муниципальном районе Республики Татарстан»</w:t>
            </w:r>
          </w:p>
        </w:tc>
      </w:tr>
    </w:tbl>
    <w:p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Приказом Минпросвещения России от 30.08.2023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письмом Минпросвещения России № АБ-3389/10, Рособрнадзора N 02-333 от 03.11.2022 «Об организации обучения детей», Исполнительный комитет Буинского муниципального района Республики Татарстан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Буинском муниципальном районе Республики Татарстан», утвержденный постановлением Исполнительного комитета Буинского муниципального района, следующие изменения и дополнения: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1.1. подпункт 1.5.1. пункта 5.1. раздела 1 дополнить абзацем вторым следующего содержания: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«Во внеочередном порядке предоставляются места в муниципальных общеобразовательных организациях детям, указанным в пункте 8 статьи 24 Федерального закона от 27 мая 1998 г. № 76-ФЗ «О статусе военнослужащих», и детям, указанным в статье 28,1 Федерального закона от 3 июля 2016 г. №226-ФЗ «О войсках национальной гвардии Российской Федерации»;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1.2.</w:t>
      </w:r>
      <w:r>
        <w:rPr/>
        <w:t xml:space="preserve"> 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пункт 2.6. раздела 2 дополнить подпунктом 2.6.7. следующего содержания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«2.6.7. Родители (законные представители) детей, прибывшие с территорий Донецкой Народной Республики, Луганской Народной Республики, Запорожской или Херсонской областей, Украины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Федерации.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документы, в том числе медицинскую карту ребенка.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Документы представляются на русском языке или вместе с заверенным в установленном порядке переводом на русский язык.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Вместе с тем отсутствие документов на русском языке или их заверенного перевода на русский язык не является основанием для отказа в приеме в общеобразовательную организацию.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В случае невозможности, в силу чрезвычайных обстоятельств, родителями (законными представителями) представить необходимые документы для приема в образовательную организацию, рекомендуется зачислить ребенка на основании заявления родителя (законного представителя).</w:t>
      </w:r>
    </w:p>
    <w:p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В исключительных случаях (если ребенок прибыл с территорий Донецкой Народной Республики, Луганской Народной Республики, Запорожской или Херсонской областей, Украины в сопровождении родственника или иного лица, не имеющего законного права представлять интересы конкретного ребенка, либо без сопровождения) необходимо принять ребенка в организацию, осуществляющую образовательную деятельность, на основании заявления родственника или иного лица, заинтересованного в обеспечении права ребенка на получение общего образования, либо на основании личного заявления ребенка, достигшего возраста 14 лет.».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http://buinsk.tatarstan.ru/</w:t>
        </w:r>
      </w:hyperlink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Буинского муниципального района –начальника МКУ «Управление образования Буинского муниципального района Н.А. Македонскую.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                                              Л.Р. Шакирзянов</w:t>
      </w:r>
    </w:p>
    <w:sectPr>
      <w:type w:val="nextPage"/>
      <w:pgSz w:w="11906" w:h="16838"/>
      <w:pgMar w:left="993" w:right="567" w:header="0" w:top="567" w:footer="0" w:bottom="56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24d2b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24d2b"/>
    <w:rPr/>
  </w:style>
  <w:style w:type="character" w:styleId="Style16">
    <w:name w:val="Интернет-ссылка"/>
    <w:basedOn w:val="DefaultParagraphFont"/>
    <w:uiPriority w:val="99"/>
    <w:unhideWhenUsed/>
    <w:rsid w:val="00074db3"/>
    <w:rPr>
      <w:color w:val="0563C1" w:themeColor="hyperlink"/>
      <w:u w:val="single"/>
    </w:rPr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892d1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LBOTTOM" w:customStyle="1">
    <w:name w:val="#COL_BOTTOM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16"/>
      <w:szCs w:val="16"/>
      <w:lang w:val="ru-RU" w:eastAsia="ru-RU" w:bidi="ar-SA"/>
    </w:rPr>
  </w:style>
  <w:style w:type="paragraph" w:styleId="COLTOP" w:customStyle="1">
    <w:name w:val="#COL_TOP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16"/>
      <w:szCs w:val="16"/>
      <w:lang w:val="ru-RU" w:eastAsia="ru-RU" w:bidi="ar-SA"/>
    </w:rPr>
  </w:style>
  <w:style w:type="paragraph" w:styleId="PRINTSECTION" w:customStyle="1">
    <w:name w:val="#PRINT_SECTION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16"/>
      <w:szCs w:val="16"/>
      <w:lang w:val="ru-RU" w:eastAsia="ru-RU" w:bidi="ar-SA"/>
    </w:rPr>
  </w:style>
  <w:style w:type="paragraph" w:styleId="CENTERTEXT" w:customStyle="1">
    <w:name w:val=".CENTER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DJVU" w:customStyle="1">
    <w:name w:val=".DJVU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FORMATTEXT" w:customStyle="1">
    <w:name w:val=".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/>
      <w:color w:val="2B4279"/>
      <w:kern w:val="0"/>
      <w:sz w:val="20"/>
      <w:szCs w:val="20"/>
      <w:lang w:val="ru-RU" w:eastAsia="ru-RU" w:bidi="ar-SA"/>
    </w:rPr>
  </w:style>
  <w:style w:type="paragraph" w:styleId="HORIZLINE" w:customStyle="1">
    <w:name w:val=".HORIZLIN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MIDDLEPICT" w:customStyle="1">
    <w:name w:val=".MIDDLEPIC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TOPLEVELTEXT" w:customStyle="1">
    <w:name w:val=".TOPLEVEL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TradeMark" w:customStyle="1">
    <w:name w:val=".TradeMark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cs="Arial, sans-serif" w:eastAsia="" w:eastAsiaTheme="minorEastAsia"/>
      <w:color w:val="auto"/>
      <w:kern w:val="0"/>
      <w:sz w:val="16"/>
      <w:szCs w:val="16"/>
      <w:lang w:val="ru-RU" w:eastAsia="ru-RU" w:bidi="ar-SA"/>
    </w:rPr>
  </w:style>
  <w:style w:type="paragraph" w:styleId="UNFORMATTEXT" w:customStyle="1">
    <w:name w:val=".UN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ODY" w:customStyle="1">
    <w:name w:val="BODY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HTML" w:customStyle="1">
    <w:name w:val="HTM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TABLE" w:customStyle="1">
    <w:name w:val="TAB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" w:cs="" w:cstheme="minorBidi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324d2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324d2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892d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278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3705-E0A7-4537-AF05-CC786367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2</Pages>
  <Words>490</Words>
  <Characters>3698</Characters>
  <CharactersWithSpaces>4212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2024-03-28T12:20:00Z</dcterms:created>
  <dc:creator>Юрист</dc:creator>
  <dc:description/>
  <dc:language>ru-RU</dc:language>
  <cp:lastModifiedBy>Юрист</cp:lastModifiedBy>
  <cp:lastPrinted>2024-03-14T11:59:00Z</cp:lastPrinted>
  <dcterms:modified xsi:type="dcterms:W3CDTF">2024-03-28T13:34:00Z</dcterms:modified>
  <cp:revision>5</cp:revision>
  <dc:subject/>
  <dc:title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