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u w:val="single"/>
        </w:rPr>
      </w:pPr>
      <w:r>
        <w:rPr>
          <w:rFonts w:cs="Times New Roman" w:ascii="Times New Roman" w:hAnsi="Times New Roman"/>
          <w:color w:val="auto"/>
          <w:u w:val="single"/>
        </w:rPr>
        <w:t>ПРОЕКТ</w:t>
      </w:r>
    </w:p>
    <w:tbl>
      <w:tblPr>
        <w:tblW w:w="985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firstRow="0" w:lastRow="0" w:firstColumn="0" w:lastColumn="0"/>
      </w:tblPr>
      <w:tblGrid>
        <w:gridCol w:w="4465"/>
        <w:gridCol w:w="566"/>
        <w:gridCol w:w="4820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ТАТАРСТАН  РЕСПУБЛИКАСЫ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БУА   МУНИЦИПАЛЬ 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РАЙОНЫ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  <w:sz w:val="28"/>
              </w:rPr>
            </w:pPr>
            <w:r>
              <w:rPr>
                <w:b/>
                <w:i/>
                <w:color w:val="000080"/>
                <w:sz w:val="28"/>
              </w:rPr>
              <w:t>БУА  ШЭ</w:t>
            </w:r>
            <w:r>
              <w:rPr>
                <w:b/>
                <w:i/>
                <w:color w:val="000080"/>
                <w:sz w:val="28"/>
                <w:lang w:val="en-US"/>
              </w:rPr>
              <w:t>h</w:t>
            </w:r>
            <w:r>
              <w:rPr>
                <w:b/>
                <w:i/>
                <w:color w:val="000080"/>
                <w:sz w:val="28"/>
              </w:rPr>
              <w:t>Э</w:t>
            </w:r>
            <w:r>
              <w:rPr>
                <w:b/>
                <w:i/>
                <w:color w:val="000080"/>
                <w:sz w:val="28"/>
                <w:lang w:val="tt-RU"/>
              </w:rPr>
              <w:t>Р</w:t>
            </w:r>
            <w:r>
              <w:rPr>
                <w:b/>
                <w:i/>
                <w:color w:val="000080"/>
                <w:sz w:val="28"/>
              </w:rPr>
              <w:t xml:space="preserve"> СОВЕТЫ</w:t>
            </w:r>
          </w:p>
        </w:tc>
        <w:tc>
          <w:tcPr>
            <w:tcW w:w="566" w:type="dxa"/>
            <w:tcBorders/>
          </w:tcPr>
          <w:p>
            <w:pPr>
              <w:pStyle w:val="Normal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БУИНСКИЙ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МУНИЦИПАЛЬНЫЙ РАЙОН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  <w:sz w:val="28"/>
              </w:rPr>
            </w:pPr>
            <w:r>
              <w:rPr>
                <w:b/>
                <w:i/>
                <w:color w:val="000080"/>
                <w:sz w:val="28"/>
              </w:rPr>
              <w:t>БУИНСКИЙ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  <w:sz w:val="28"/>
              </w:rPr>
            </w:pPr>
            <w:r>
              <w:rPr>
                <w:b/>
                <w:i/>
                <w:color w:val="000080"/>
                <w:sz w:val="28"/>
              </w:rPr>
              <w:t xml:space="preserve">  </w:t>
            </w:r>
            <w:r>
              <w:rPr>
                <w:b/>
                <w:i/>
                <w:color w:val="000080"/>
                <w:sz w:val="28"/>
              </w:rPr>
              <w:t xml:space="preserve">ГОРОДСКОЙ СОВЕТ </w:t>
            </w:r>
          </w:p>
          <w:p>
            <w:pPr>
              <w:pStyle w:val="Normal"/>
              <w:rPr>
                <w:color w:val="0000FF"/>
                <w:sz w:val="22"/>
              </w:rPr>
            </w:pPr>
            <w:r>
              <w:rPr>
                <w:b/>
                <w:i/>
                <w:color w:val="0000FF"/>
                <w:sz w:val="22"/>
              </w:rPr>
              <w:t xml:space="preserve">               </w:t>
            </w:r>
          </w:p>
        </w:tc>
      </w:tr>
    </w:tbl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-43180</wp:posOffset>
                </wp:positionH>
                <wp:positionV relativeFrom="paragraph">
                  <wp:posOffset>66040</wp:posOffset>
                </wp:positionV>
                <wp:extent cx="6309995" cy="635"/>
                <wp:effectExtent l="20320" t="27305" r="23495" b="2032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5.2pt" to="493.35pt,5.2pt" ID="Прямая соединительная линия 2" stroked="t" style="position:absolute">
                <v:stroke color="red" weight="381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b/>
          <w:b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-43180</wp:posOffset>
                </wp:positionH>
                <wp:positionV relativeFrom="paragraph">
                  <wp:posOffset>-2540</wp:posOffset>
                </wp:positionV>
                <wp:extent cx="6309995" cy="635"/>
                <wp:effectExtent l="10795" t="13970" r="13970" b="508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-0.2pt" to="493.35pt,-0.2pt" ID="Прямая соединительная линия 1" stroked="t" style="position:absolute">
                <v:stroke color="lime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 xml:space="preserve">      </w:t>
      </w:r>
      <w:r>
        <w:rPr>
          <w:b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</w:rPr>
      </w:pPr>
      <w:r>
        <w:rPr>
          <w:b/>
          <w:sz w:val="32"/>
        </w:rPr>
        <w:t>КАРАР</w:t>
      </w:r>
    </w:p>
    <w:p>
      <w:pPr>
        <w:pStyle w:val="Normal"/>
        <w:jc w:val="center"/>
        <w:rPr>
          <w:sz w:val="32"/>
          <w:szCs w:val="20"/>
        </w:rPr>
      </w:pPr>
      <w:r>
        <w:rPr>
          <w:sz w:val="32"/>
          <w:szCs w:val="20"/>
        </w:rPr>
        <w:t>РЕШЕНИЕ</w:t>
      </w:r>
    </w:p>
    <w:p>
      <w:pPr>
        <w:pStyle w:val="Normal"/>
        <w:rPr>
          <w:b/>
          <w:b/>
          <w:sz w:val="26"/>
          <w:szCs w:val="20"/>
        </w:rPr>
      </w:pPr>
      <w:r>
        <w:rPr>
          <w:b/>
          <w:sz w:val="26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______________20____ года                                                                                №______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right="283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проекте решения о внесении изменений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дополнений в Устав муниципального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город Буинск Буинского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 Республики Татарстан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образования город Буинск Буинского муниципального района Республики Татарстан, принятого решением Буинского городского Совета от 05.07.2018 № 1-34 (в редакции решений Буинского городского Совета от 17.09.2019 № 1-44, от 30.07.2020 № 1-59, от 25.06.2021 № 1-10, от 03.10.2022 №1-22, от 18.12.2023 №2-41), в соответствие с действующим законодательством, Буинский городской Совет Буинского муниципального района РТ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Принять в первом чтении проект решения Буинского городского Совета муниципального района Республики Татарстан «О внесении изменений и дополнений в Устав муниципального образования город Буинск Буинского муниципального района Республики Татарстан» (Приложение № 1)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руководитель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Зайцева Светлана Анатольевна – заместитель Главы города Буинска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Талипов Ильнар Рамазанович – руководитель Исполнительного комитета города Буинска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 Иван Павлович – председатель постоянной комиссии Буинского городского Совета Буинского муниципального района Республики Татарстан по социальным вопросам;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Сафиуллина Лилия Рашитовна – начальник организационного отдела исполнительного комитета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горд Буинск Буинского муниципального района Республики Татарстан вносятся в Буинский городской Совет Буинского муниципального района Республики Татарстан по адресу: 422430, РТ, Буинский район, ул. Космовского, д. 91Б, в письменной форме в течение 30 дней со дня официального опубликования (размещения) проекта решения, в рабочие дни с 8.00 до 17.00 часов;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 с правом выступления подаются по адресу: 422430, РТ, Буинский район, ул. Космовского, д. 91Б, в рабочие дни с 8.00 до 17.00 часов, не позже чем за 7 дней до даты проведения публичных слушаний.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 в порядке, предусмотренном Положением о порядке организации и проведения публичных слушаний (общественных обсуждений) в муниципальном образовании город Буинск Буинского муниципального района Республики Татарстан, утвержденным Решением Буинского городского Совета от 11 февраля 2021 года №6-7, назначив их на ________________года, в 10.00 часов, в зале заседаний исполнительного комитета города Буинск Буинского муниципального района Республики Татарстан по адресу: 422430, РТ, Буинский район, ул. Космовского, д. 91Б.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</w:t>
      </w:r>
      <w:r>
        <w:rPr>
          <w:rFonts w:cs="Times New Roman"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(https://pravo.tatarstan.ru) и разместить на Портале муниципальных образований Республики Татарстан  Республики Татарстан (https://buinsk.tatarstan.ru).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Буинска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       Р.Р. Камартдинов</w:t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ConsPlusNormal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ConsPlusNormal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решению Буинского </w:t>
      </w:r>
    </w:p>
    <w:p>
      <w:pPr>
        <w:pStyle w:val="ConsPlusNormal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Совета</w:t>
      </w:r>
    </w:p>
    <w:p>
      <w:pPr>
        <w:pStyle w:val="ConsPlusNormal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Буинского муниципального </w:t>
      </w:r>
    </w:p>
    <w:p>
      <w:pPr>
        <w:pStyle w:val="ConsPlusNormal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района Республики Татарстан </w:t>
      </w:r>
    </w:p>
    <w:p>
      <w:pPr>
        <w:pStyle w:val="ConsPlusNormal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«       »              2024 г. №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Изменения и дополнения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Устав муниципального образования город Буинск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Республики Татарстан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Устав муниципального образования город Буинск Буинского муниципального района Республики Татарстан, принятый решением Буинского городского Совета от 05.07.2018 № 1-34 (в редакции решений от 17.09.2019 № 1-44, от 30.07.2020 № 1-59, от 25.06.2021 № 1-10, от 03.10.2022 №1-22, от 18.12.2023 №2-41), следующие изменения и дополнения:</w:t>
      </w:r>
    </w:p>
    <w:p>
      <w:pPr>
        <w:pStyle w:val="ConsPlusNormal"/>
        <w:tabs>
          <w:tab w:val="clear" w:pos="708"/>
          <w:tab w:val="left" w:pos="1668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1.1.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в частях 5 и 8 статьи 13</w:t>
      </w:r>
      <w:r>
        <w:rPr>
          <w:rFonts w:cs="Times New Roman" w:ascii="Times New Roman" w:hAnsi="Times New Roman"/>
          <w:sz w:val="28"/>
          <w:szCs w:val="28"/>
        </w:rPr>
        <w:t xml:space="preserve"> слова «Избирательная комиссия Поселения» заменить словами «избирательная комиссия, организующая подготовку и проведение муниципальных выборов, местного референдума» в соответствующем падеже;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1.2. Части 3 статьи 6 </w:t>
      </w:r>
      <w:r>
        <w:rPr>
          <w:color w:val="000000" w:themeColor="text1"/>
          <w:sz w:val="28"/>
          <w:szCs w:val="28"/>
        </w:rPr>
        <w:t>внести изменение, дополнив ее абзацем следующего содержания: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«При решении вопросов, предусмотренных пунктом 7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субъекта Российской Федерации».</w:t>
      </w:r>
    </w:p>
    <w:p>
      <w:pPr>
        <w:pStyle w:val="ConsPlusNormal"/>
        <w:tabs>
          <w:tab w:val="clear" w:pos="708"/>
          <w:tab w:val="left" w:pos="1668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1.4. в подпунктах «а» и «б» пункта 2 части 61 статьи 30</w:t>
      </w:r>
      <w:r>
        <w:rPr>
          <w:rFonts w:cs="Times New Roman" w:ascii="Times New Roman" w:hAnsi="Times New Roman"/>
          <w:sz w:val="28"/>
          <w:szCs w:val="28"/>
        </w:rPr>
        <w:t xml:space="preserve"> слова «аппарате Избирательной комиссии Поселения» исключить;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1.5.  В </w:t>
      </w:r>
      <w:r>
        <w:fldChar w:fldCharType="begin"/>
      </w:r>
      <w:r>
        <w:rPr>
          <w:sz w:val="28"/>
          <w:u w:val="none"/>
          <w:b/>
          <w:color w:val="000000"/>
        </w:rPr>
        <w:instrText> HYPERLINK "https://base.garant.ru/186367/888134b28b1397ffae87a0ab1e117954/" \l "block_1401"</w:instrText>
      </w:r>
      <w:r>
        <w:rPr>
          <w:sz w:val="28"/>
          <w:u w:val="none"/>
          <w:b/>
          <w:color w:val="000000"/>
        </w:rPr>
        <w:fldChar w:fldCharType="separate"/>
      </w:r>
      <w:r>
        <w:rPr>
          <w:b/>
          <w:color w:val="000000" w:themeColor="text1"/>
          <w:sz w:val="28"/>
          <w:u w:val="none"/>
        </w:rPr>
        <w:t>части 1</w:t>
      </w:r>
      <w:r>
        <w:rPr>
          <w:sz w:val="28"/>
          <w:u w:val="none"/>
          <w:b/>
          <w:color w:val="000000"/>
        </w:rPr>
        <w:fldChar w:fldCharType="end"/>
      </w:r>
      <w:r>
        <w:rPr>
          <w:b/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 </w:t>
      </w:r>
      <w:r>
        <w:fldChar w:fldCharType="begin"/>
      </w:r>
      <w:r>
        <w:rPr>
          <w:sz w:val="28"/>
          <w:u w:val="none"/>
          <w:b/>
          <w:color w:val="000000"/>
        </w:rPr>
        <w:instrText> HYPERLINK "https://base.garant.ru/186367/888134b28b1397ffae87a0ab1e117954/" \l "block_14"</w:instrText>
      </w:r>
      <w:r>
        <w:rPr>
          <w:sz w:val="28"/>
          <w:u w:val="none"/>
          <w:b/>
          <w:color w:val="000000"/>
        </w:rPr>
        <w:fldChar w:fldCharType="separate"/>
      </w:r>
      <w:r>
        <w:rPr>
          <w:b/>
          <w:color w:val="000000" w:themeColor="text1"/>
          <w:sz w:val="28"/>
          <w:u w:val="none"/>
        </w:rPr>
        <w:t>статье 14</w:t>
      </w:r>
      <w:r>
        <w:rPr>
          <w:sz w:val="28"/>
          <w:u w:val="none"/>
          <w:b/>
          <w:color w:val="000000"/>
        </w:rPr>
        <w:fldChar w:fldCharType="end"/>
      </w:r>
      <w:r>
        <w:rPr>
          <w:color w:val="000000" w:themeColor="text1"/>
          <w:sz w:val="28"/>
        </w:rPr>
        <w:t> дополнить </w:t>
      </w:r>
      <w:r>
        <w:fldChar w:fldCharType="begin"/>
      </w:r>
      <w:r>
        <w:rPr>
          <w:sz w:val="28"/>
          <w:u w:val="none"/>
          <w:color w:val="000000"/>
        </w:rPr>
        <w:instrText> HYPERLINK "https://base.garant.ru/186367/888134b28b1397ffae87a0ab1e117954/" \l "block_140142"</w:instrText>
      </w:r>
      <w:r>
        <w:rPr>
          <w:sz w:val="28"/>
          <w:u w:val="none"/>
          <w:color w:val="000000"/>
        </w:rPr>
        <w:fldChar w:fldCharType="separate"/>
      </w:r>
      <w:r>
        <w:rPr>
          <w:color w:val="000000" w:themeColor="text1"/>
          <w:sz w:val="28"/>
          <w:u w:val="none"/>
        </w:rPr>
        <w:t>пунктом 42</w:t>
      </w:r>
      <w:r>
        <w:rPr>
          <w:sz w:val="28"/>
          <w:u w:val="none"/>
          <w:color w:val="000000"/>
        </w:rPr>
        <w:fldChar w:fldCharType="end"/>
      </w:r>
      <w:r>
        <w:rPr>
          <w:color w:val="000000" w:themeColor="text1"/>
          <w:sz w:val="28"/>
        </w:rPr>
        <w:t> следующего содержания:</w:t>
      </w:r>
    </w:p>
    <w:p>
      <w:pPr>
        <w:pStyle w:val="S1"/>
        <w:shd w:val="clear" w:color="auto" w:fill="FFFFFF"/>
        <w:spacing w:beforeAutospacing="0" w:before="0" w:afterAutospacing="0"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«42) осуществление учета личных подсобных хозяйств, которые ведут граждане в соответствии с Федеральным законом от 7 июля 2003 года N 112-ФЗ "О личном подсобном хозяйстве", в похозяйственных книгах.»; 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1.5.</w:t>
      </w:r>
      <w:r>
        <w:rPr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в </w:t>
      </w:r>
      <w:r>
        <w:fldChar w:fldCharType="begin"/>
      </w:r>
      <w:r>
        <w:rPr>
          <w:sz w:val="28"/>
          <w:u w:val="none"/>
          <w:b/>
          <w:color w:val="000000"/>
        </w:rPr>
        <w:instrText> HYPERLINK "https://base.garant.ru/186367/888134b28b1397ffae87a0ab1e117954/" \l "block_1403"</w:instrText>
      </w:r>
      <w:r>
        <w:rPr>
          <w:sz w:val="28"/>
          <w:u w:val="none"/>
          <w:b/>
          <w:color w:val="000000"/>
        </w:rPr>
        <w:fldChar w:fldCharType="separate"/>
      </w:r>
      <w:r>
        <w:rPr>
          <w:b/>
          <w:color w:val="000000" w:themeColor="text1"/>
          <w:sz w:val="28"/>
          <w:u w:val="none"/>
        </w:rPr>
        <w:t>части 3</w:t>
      </w:r>
      <w:r>
        <w:rPr>
          <w:sz w:val="28"/>
          <w:u w:val="none"/>
          <w:b/>
          <w:color w:val="000000"/>
        </w:rPr>
        <w:fldChar w:fldCharType="end"/>
      </w:r>
      <w:r>
        <w:rPr>
          <w:b/>
          <w:color w:val="000000" w:themeColor="text1"/>
          <w:sz w:val="28"/>
        </w:rPr>
        <w:t xml:space="preserve"> статье 14 </w:t>
      </w:r>
      <w:r>
        <w:rPr>
          <w:color w:val="000000" w:themeColor="text1"/>
          <w:sz w:val="28"/>
        </w:rPr>
        <w:t> цифры «21, 28, 30, 33» заменить словами «пунктами 21, 28, 30, 33, 42»;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1.6. В </w:t>
      </w:r>
      <w:r>
        <w:fldChar w:fldCharType="begin"/>
      </w:r>
      <w:r>
        <w:rPr>
          <w:sz w:val="28"/>
          <w:u w:val="none"/>
          <w:b/>
          <w:color w:val="000000"/>
        </w:rPr>
        <w:instrText> HYPERLINK "https://base.garant.ru/186367/7a58987b486424ad79b62aa427dab1df/" \l "block_1601"</w:instrText>
      </w:r>
      <w:r>
        <w:rPr>
          <w:sz w:val="28"/>
          <w:u w:val="none"/>
          <w:b/>
          <w:color w:val="000000"/>
        </w:rPr>
        <w:fldChar w:fldCharType="separate"/>
      </w:r>
      <w:r>
        <w:rPr>
          <w:b/>
          <w:color w:val="000000" w:themeColor="text1"/>
          <w:sz w:val="28"/>
          <w:u w:val="none"/>
        </w:rPr>
        <w:t xml:space="preserve">части 1 </w:t>
      </w:r>
      <w:r>
        <w:rPr>
          <w:sz w:val="28"/>
          <w:u w:val="none"/>
          <w:b/>
          <w:color w:val="000000"/>
        </w:rPr>
        <w:fldChar w:fldCharType="end"/>
      </w:r>
      <w:r>
        <w:rPr>
          <w:b/>
          <w:color w:val="000000" w:themeColor="text1"/>
          <w:sz w:val="28"/>
        </w:rPr>
        <w:t>статьи 16</w:t>
      </w:r>
      <w:r>
        <w:rPr>
          <w:color w:val="000000" w:themeColor="text1"/>
          <w:sz w:val="28"/>
        </w:rPr>
        <w:t> дополнить </w:t>
      </w:r>
      <w:r>
        <w:fldChar w:fldCharType="begin"/>
      </w:r>
      <w:r>
        <w:rPr>
          <w:sz w:val="28"/>
          <w:u w:val="none"/>
          <w:color w:val="000000"/>
        </w:rPr>
        <w:instrText> HYPERLINK "https://base.garant.ru/186367/7a58987b486424ad79b62aa427dab1df/" \l "block_160146"</w:instrText>
      </w:r>
      <w:r>
        <w:rPr>
          <w:sz w:val="28"/>
          <w:u w:val="none"/>
          <w:color w:val="000000"/>
        </w:rPr>
        <w:fldChar w:fldCharType="separate"/>
      </w:r>
      <w:r>
        <w:rPr>
          <w:color w:val="000000" w:themeColor="text1"/>
          <w:sz w:val="28"/>
          <w:u w:val="none"/>
        </w:rPr>
        <w:t>пунктом 46</w:t>
      </w:r>
      <w:r>
        <w:rPr>
          <w:sz w:val="28"/>
          <w:u w:val="none"/>
          <w:color w:val="000000"/>
        </w:rPr>
        <w:fldChar w:fldCharType="end"/>
      </w:r>
      <w:r>
        <w:rPr>
          <w:color w:val="000000" w:themeColor="text1"/>
          <w:sz w:val="28"/>
        </w:rPr>
        <w:t> следующего содержания:</w:t>
      </w:r>
    </w:p>
    <w:p>
      <w:pPr>
        <w:pStyle w:val="S1"/>
        <w:shd w:val="clear" w:color="auto" w:fill="FFFFFF"/>
        <w:spacing w:beforeAutospacing="0" w:before="0" w:afterAutospacing="0"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«46) осуществление учета личных подсобных хозяйств, которые ведут граждане в соответствии с Федеральным законом от 7 июля 2003 года N 112-ФЗ "О личном подсобном хозяйстве", в похозяйственных книгах».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1.7.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части 1 статьи 33: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пункт 17 </w:t>
      </w:r>
      <w:r>
        <w:rPr>
          <w:rFonts w:cs="Times New Roman" w:ascii="Times New Roman" w:hAnsi="Times New Roman"/>
          <w:sz w:val="28"/>
          <w:szCs w:val="28"/>
        </w:rPr>
        <w:t>признать утратившим силу;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пункт 35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подпункте 36 </w:t>
      </w:r>
      <w:r>
        <w:rPr>
          <w:rFonts w:cs="Times New Roman" w:ascii="Times New Roman" w:hAnsi="Times New Roman"/>
          <w:sz w:val="28"/>
          <w:szCs w:val="28"/>
        </w:rPr>
        <w:t>слова «федеральными законами» заменить словами «Федеральным законом «Об общих принципах организации местного самоуправления в Российской Федерации»,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Законом Республики Татарстан «О местном самоуправлении в Республике Татарстан»;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1.8. часть 1 статьи 40</w:t>
      </w:r>
      <w:r>
        <w:rPr>
          <w:rFonts w:cs="Times New Roman" w:ascii="Times New Roman" w:hAnsi="Times New Roman"/>
          <w:sz w:val="28"/>
          <w:szCs w:val="28"/>
        </w:rPr>
        <w:t xml:space="preserve"> дополнить пунктом 11.1 следующего содержания;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«11.1 приобретения им статуса иностранного агента;»;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1.9. в подпунктах «а» и «б» пункта 2 части 7 статьи 43</w:t>
      </w:r>
      <w:r>
        <w:rPr>
          <w:rFonts w:cs="Times New Roman" w:ascii="Times New Roman" w:hAnsi="Times New Roman"/>
          <w:sz w:val="28"/>
          <w:szCs w:val="28"/>
        </w:rPr>
        <w:t xml:space="preserve"> слова «аппарате Избирательной комиссии Поселения» исключить;</w:t>
      </w:r>
      <w:r>
        <w:rPr>
          <w:b/>
          <w:color w:val="000000" w:themeColor="text1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b/>
          <w:sz w:val="28"/>
          <w:szCs w:val="28"/>
        </w:rPr>
        <w:t>1.10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абзац 9 подпункта 6 пункта 1 статьи 49</w:t>
      </w:r>
      <w:r>
        <w:rPr>
          <w:b/>
          <w:i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«организует и осуществляет мероприятия по работе с детьми и молодежью, участвует в реализации молодежной политики, разрабатывает и реализует меры </w:t>
        <w:br/>
        <w:t xml:space="preserve">по обеспечению и защите прав и законных интересов молодежи, разрабатывает </w:t>
        <w:br/>
        <w:t>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1.11. главу VII и статью 58</w:t>
      </w:r>
      <w:r>
        <w:rPr>
          <w:rFonts w:cs="Times New Roman" w:ascii="Times New Roman" w:hAnsi="Times New Roman"/>
          <w:sz w:val="28"/>
          <w:szCs w:val="28"/>
        </w:rPr>
        <w:t xml:space="preserve"> признать утратившими силу;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1.12. в части 3 статьи 63</w:t>
      </w:r>
      <w:r>
        <w:rPr>
          <w:rFonts w:cs="Times New Roman" w:ascii="Times New Roman" w:hAnsi="Times New Roman"/>
          <w:sz w:val="28"/>
          <w:szCs w:val="28"/>
        </w:rPr>
        <w:t xml:space="preserve"> слова «и Избирательной комиссии Поселения» исключить;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статью 77</w:t>
      </w:r>
      <w:r>
        <w:rPr>
          <w:rFonts w:cs="Times New Roman" w:ascii="Times New Roman" w:hAnsi="Times New Roman"/>
          <w:i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77. «Порядок обнародования и вступления в силу муниципальных правовых актов»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(Роскомнадзор) или в печатном издании - газете Байрак (Знамя), свидетельство о регистрации в качестве средств массовой информации Эл № ФС77-47526 выдано 30.11.2011 ноября 2011 Федеральной службой по надзору в сфере связи, информационных технологий и массовых коммуникаций</w:t>
      </w:r>
      <w:r>
        <w:rPr>
          <w:rFonts w:cs="Times New Roman" w:ascii="Times New Roman" w:hAnsi="Times New Roman"/>
          <w:sz w:val="28"/>
          <w:szCs w:val="22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размещение на официальном сайте города Буинска Буинского муниципального района в информационно-телекоммуникационной сети «Интернет» (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https://buinsk.tatarstan.ru/organ_upravleniy/MO_gorod_Buinsk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  <w:br/>
        <w:t xml:space="preserve">к информационно-телекоммуникационной сети «Интернет», расположенные </w:t>
        <w:br/>
        <w:t>по адресу: 422430, Республика Татарстан, г Буинск, ул Космовского, д. 91Б 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Нормативные правовые акты Совета Поселения о налогах и сборах вступают в силу в соответствии с Налоговым кодексом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Перечень</w:t>
      </w:r>
      <w:r>
        <w:rPr>
          <w:rFonts w:cs="Times New Roman" w:ascii="Times New Roman" w:hAnsi="Times New Roman"/>
          <w:color w:val="FFFF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  <w:br/>
        <w:t xml:space="preserve">до всеобщего сведения путём опубликования правового акта Главы Поселения.»;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1.14</w:t>
      </w:r>
      <w:bookmarkStart w:id="0" w:name="_GoBack"/>
      <w:bookmarkEnd w:id="0"/>
      <w:r>
        <w:rPr>
          <w:b/>
          <w:sz w:val="28"/>
          <w:szCs w:val="28"/>
        </w:rPr>
        <w:t>. в статье 79: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пункт 9 части 2</w:t>
      </w:r>
      <w:r>
        <w:rPr>
          <w:sz w:val="28"/>
          <w:szCs w:val="28"/>
        </w:rPr>
        <w:t xml:space="preserve"> изменить и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«9) объекты культурного наследия (памятники истории и культуры) народов Российской Федерации независимо от категории их историко-культурного значения;»;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дополнить частью 4</w:t>
      </w:r>
      <w:r>
        <w:rPr>
          <w:sz w:val="28"/>
          <w:szCs w:val="28"/>
        </w:rPr>
        <w:t xml:space="preserve">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В случаях возникновения у Поселения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законом.».</w:t>
      </w:r>
    </w:p>
    <w:sectPr>
      <w:headerReference w:type="default" r:id="rId4"/>
      <w:type w:val="nextPage"/>
      <w:pgSz w:w="11906" w:h="16838"/>
      <w:pgMar w:left="1134" w:right="567" w:header="709" w:top="766" w:footer="0" w:bottom="709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3101396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e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ed7c68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8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12916"/>
    <w:pPr>
      <w:spacing w:beforeAutospacing="1" w:afterAutospacing="1"/>
    </w:pPr>
    <w:rPr/>
  </w:style>
  <w:style w:type="paragraph" w:styleId="S1" w:customStyle="1">
    <w:name w:val="s_1"/>
    <w:basedOn w:val="Normal"/>
    <w:qFormat/>
    <w:rsid w:val="00d9472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hyperlink" Target="https://buinsk.tatarstan.ru/organ_upravleniy/MO_gorod_Buinsk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4F26-6B60-4E86-8764-CCB9D109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LibreOffice/6.4.7.2$Linux_X86_64 LibreOffice_project/40$Build-2</Application>
  <Pages>4</Pages>
  <Words>1455</Words>
  <Characters>10117</Characters>
  <CharactersWithSpaces>11713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2024-02-16T07:34:00Z</dcterms:created>
  <dc:creator>salahova</dc:creator>
  <dc:description/>
  <dc:language>ru-RU</dc:language>
  <cp:lastModifiedBy>Юрист</cp:lastModifiedBy>
  <cp:lastPrinted>2024-04-11T04:52:00Z</cp:lastPrinted>
  <dcterms:modified xsi:type="dcterms:W3CDTF">2024-10-31T13:53:00Z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