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7"/>
        <w:gridCol w:w="1413"/>
        <w:gridCol w:w="4536"/>
      </w:tblGrid>
      <w:tr>
        <w:trPr>
          <w:trHeight w:val="1560" w:hRule="atLeast"/>
        </w:trPr>
        <w:tc>
          <w:tcPr>
            <w:tcW w:w="425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БУИНСКОГО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Жореса, д. 110а, г. Буинск, 422430</w:t>
            </w:r>
          </w:p>
        </w:tc>
        <w:tc>
          <w:tcPr>
            <w:tcW w:w="1413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/>
              <w:drawing>
                <wp:inline distT="0" distB="0" distL="0" distR="0">
                  <wp:extent cx="721360" cy="90170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БУА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t>СОВЕТЫ</w:t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Жорес урамы, 110а йорт,  Буа шәһәре, 422430</w:t>
            </w:r>
          </w:p>
        </w:tc>
      </w:tr>
      <w:tr>
        <w:trPr>
          <w:trHeight w:val="680" w:hRule="atLeast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exact" w:line="22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тел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.: (84374) 3-10-93, </w:t>
            </w:r>
            <w:r>
              <w:rPr>
                <w:color w:val="000000"/>
                <w:sz w:val="20"/>
                <w:szCs w:val="20"/>
              </w:rPr>
              <w:t>тел</w:t>
            </w:r>
            <w:r>
              <w:rPr>
                <w:color w:val="000000"/>
                <w:sz w:val="20"/>
                <w:szCs w:val="20"/>
                <w:lang w:val="en-US"/>
              </w:rPr>
              <w:t>./</w:t>
            </w:r>
            <w:r>
              <w:rPr>
                <w:color w:val="000000"/>
                <w:sz w:val="20"/>
                <w:szCs w:val="20"/>
              </w:rPr>
              <w:t>факс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: (84374) 3-11-93, e-mail: </w:t>
            </w:r>
            <w:hyperlink r:id="rId3"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>bua@tatar.ru</w:t>
              </w:r>
            </w:hyperlink>
            <w:r>
              <w:rPr>
                <w:color w:val="0000FF"/>
                <w:sz w:val="20"/>
                <w:szCs w:val="20"/>
                <w:u w:val="single"/>
                <w:lang w:val="en-US"/>
              </w:rPr>
              <w:t>, buinsk.tatarstan.ru</w:t>
            </w:r>
          </w:p>
        </w:tc>
      </w:tr>
    </w:tbl>
    <w:p>
      <w:pPr>
        <w:pStyle w:val="Normal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jc w:val="right"/>
        <w:rPr>
          <w:rFonts w:eastAsia="Source Han Sans CN Regular"/>
          <w:bCs/>
          <w:kern w:val="2"/>
          <w:sz w:val="28"/>
          <w:szCs w:val="28"/>
          <w:lang w:bidi="ru-RU"/>
        </w:rPr>
      </w:pPr>
      <w:r>
        <w:rPr>
          <w:rFonts w:eastAsia="Source Han Sans CN Regular"/>
          <w:bCs/>
          <w:kern w:val="2"/>
          <w:sz w:val="28"/>
          <w:szCs w:val="28"/>
          <w:lang w:bidi="ru-RU"/>
        </w:rPr>
      </w:r>
    </w:p>
    <w:p>
      <w:pPr>
        <w:pStyle w:val="Normal"/>
        <w:jc w:val="right"/>
        <w:rPr>
          <w:b/>
          <w:b/>
          <w:sz w:val="28"/>
          <w:szCs w:val="28"/>
          <w:lang w:eastAsia="x-none"/>
        </w:rPr>
      </w:pPr>
      <w:r>
        <w:rPr>
          <w:rFonts w:eastAsia="Source Han Sans CN Regular"/>
          <w:b/>
          <w:bCs/>
          <w:kern w:val="2"/>
          <w:sz w:val="28"/>
          <w:szCs w:val="28"/>
          <w:lang w:bidi="ru-RU"/>
        </w:rPr>
        <w:t>ПРОЕКТ</w:t>
      </w:r>
    </w:p>
    <w:p>
      <w:pPr>
        <w:pStyle w:val="Normal"/>
        <w:jc w:val="center"/>
        <w:rPr>
          <w:b/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jc w:val="center"/>
        <w:outlineLvl w:val="0"/>
        <w:rPr>
          <w:b/>
          <w:b/>
          <w:spacing w:val="36"/>
          <w:sz w:val="28"/>
          <w:szCs w:val="28"/>
          <w:lang w:val="x-none" w:eastAsia="x-none"/>
        </w:rPr>
      </w:pPr>
      <w:r>
        <w:rPr>
          <w:b/>
          <w:spacing w:val="36"/>
          <w:sz w:val="28"/>
          <w:szCs w:val="28"/>
          <w:lang w:val="x-none" w:eastAsia="x-none"/>
        </w:rPr>
        <w:t>РЕШЕНИЕ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jc w:val="center"/>
        <w:outlineLvl w:val="2"/>
        <w:rPr>
          <w:b/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Буинского</w:t>
      </w:r>
      <w:r>
        <w:rPr>
          <w:b/>
          <w:sz w:val="28"/>
          <w:szCs w:val="28"/>
          <w:lang w:val="x-none" w:eastAsia="x-none"/>
        </w:rPr>
        <w:t xml:space="preserve"> районного Совета 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8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33"/>
        <w:gridCol w:w="284"/>
        <w:gridCol w:w="284"/>
        <w:gridCol w:w="1417"/>
        <w:gridCol w:w="1135"/>
        <w:gridCol w:w="3546"/>
        <w:gridCol w:w="988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2025г.</w:t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b/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Об утверждении Порядка согласования передачи в аренду имущества, находящегося в собственности Буинского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</w:t>
      </w:r>
    </w:p>
    <w:p>
      <w:pPr>
        <w:pStyle w:val="Normal"/>
        <w:widowControl w:val="false"/>
        <w:shd w:val="clear" w:color="auto" w:fill="FFFFFF"/>
        <w:rPr>
          <w:b/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частью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статьи 17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26 июля 2006 года № 135–ФЗ «О защите конкуренции», пунктом 8 Правил заключения без проведения конкурсов или аукционов договоров аренды в отношении государствен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утвержденных постановлением Правительства Российской Федерации от 9 сентября 2021 г. № 1529, Совет Буинского муниципального района Республики Татарстан решил: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Порядок согласования передачи в аренду имущества, находящегося в собственности Буинского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культуры.</w:t>
      </w:r>
    </w:p>
    <w:p>
      <w:pPr>
        <w:pStyle w:val="S1"/>
        <w:shd w:val="clear" w:color="auto" w:fill="FFFFFF"/>
        <w:spacing w:beforeAutospacing="0" w:before="0" w:afterAutospacing="0" w:after="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Официально обнародовать настоящее решение на официальном сайте Буинского муниципального района https://buinsk.tatarstan.ru/ и официальном портале правовой информации https://pravo.tatarstan.ru/npa_msu/buinsk</w:t>
      </w:r>
    </w:p>
    <w:p>
      <w:pPr>
        <w:pStyle w:val="S1"/>
        <w:shd w:val="clear" w:color="auto" w:fill="FFFFFF"/>
        <w:spacing w:beforeAutospacing="0" w:before="0" w:afterAutospacing="0" w:after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>3. Настоящее решение вступает в силу после его официального обнародования.</w:t>
      </w:r>
    </w:p>
    <w:p>
      <w:pPr>
        <w:pStyle w:val="ConsPlusNormal"/>
        <w:tabs>
          <w:tab w:val="clear" w:pos="708"/>
          <w:tab w:val="left" w:pos="993" w:leader="none"/>
        </w:tabs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финансово-бюджетным вопросам, экономике и землепользованию.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567" w:hanging="0"/>
        <w:rPr>
          <w:sz w:val="28"/>
          <w:szCs w:val="28"/>
        </w:rPr>
      </w:pPr>
      <w:r>
        <w:rPr>
          <w:sz w:val="28"/>
          <w:szCs w:val="28"/>
        </w:rPr>
        <w:t xml:space="preserve">Глава Буинского </w:t>
      </w:r>
    </w:p>
    <w:p>
      <w:pPr>
        <w:pStyle w:val="Normal"/>
        <w:ind w:left="567" w:hanging="0"/>
        <w:rPr>
          <w:sz w:val="26"/>
          <w:szCs w:val="26"/>
        </w:rPr>
      </w:pPr>
      <w:r>
        <w:rPr>
          <w:sz w:val="28"/>
          <w:szCs w:val="28"/>
        </w:rPr>
        <w:t xml:space="preserve">муниципального района РТ </w:t>
        <w:tab/>
        <w:tab/>
        <w:tab/>
        <w:tab/>
        <w:tab/>
        <w:tab/>
        <w:t>Р.Р. Камартдинов</w:t>
      </w:r>
    </w:p>
    <w:p>
      <w:pPr>
        <w:sectPr>
          <w:headerReference w:type="default" r:id="rId4"/>
          <w:type w:val="nextPage"/>
          <w:pgSz w:w="11906" w:h="16838"/>
          <w:pgMar w:left="1134" w:right="567" w:header="709" w:top="1134" w:footer="0" w:bottom="1134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ConsPlusNormal"/>
        <w:ind w:left="5670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left="5670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Приложение  </w:t>
      </w:r>
    </w:p>
    <w:p>
      <w:pPr>
        <w:pStyle w:val="ConsPlusNormal"/>
        <w:ind w:left="5670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К решению Совета Буинского</w:t>
      </w:r>
    </w:p>
    <w:p>
      <w:pPr>
        <w:pStyle w:val="ConsPlusNormal"/>
        <w:ind w:left="5670" w:hanging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муниципального района РТ</w:t>
      </w:r>
    </w:p>
    <w:p>
      <w:pPr>
        <w:pStyle w:val="ConsPlusNormal"/>
        <w:ind w:left="5670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от ___ _________ 202_ г. №______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Порядок согласования передачи в аренду имущества, находящегося </w:t>
        <w:br/>
        <w:t>в собственности Буинского муниципального района Республики Татарстан, закрепленного  на праве хозяйственного ведения либо на праве оперативного управления за муниципальными организациями культуры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1. Настоящий Порядок определяет процедуру согласования организацией культуры </w:t>
      </w:r>
      <w:r>
        <w:rPr>
          <w:sz w:val="28"/>
          <w:szCs w:val="28"/>
        </w:rPr>
        <w:t>Буинского муниципального района Республики Татарстан</w:t>
      </w:r>
      <w:r>
        <w:rPr>
          <w:rFonts w:eastAsia="Calibri" w:eastAsiaTheme="minorHAnsi"/>
          <w:sz w:val="28"/>
          <w:szCs w:val="28"/>
          <w:lang w:eastAsia="en-US"/>
        </w:rPr>
        <w:t xml:space="preserve"> (далее – муниципальная организация культуры) с учредителем и собственником муниципального имущества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передачи в аренду без проведения конкурсов</w:t>
      </w:r>
      <w:r>
        <w:rPr>
          <w:rFonts w:eastAsia="Calibri" w:eastAsiaTheme="minorHAnsi"/>
          <w:sz w:val="28"/>
          <w:szCs w:val="28"/>
          <w:lang w:val="tt-RU"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или аукционов муниципального имущества </w:t>
      </w:r>
      <w:r>
        <w:rPr>
          <w:sz w:val="28"/>
          <w:szCs w:val="28"/>
        </w:rPr>
        <w:t xml:space="preserve">Буинского муниципального района Республики Татарстан, </w:t>
      </w:r>
      <w:r>
        <w:rPr>
          <w:rFonts w:eastAsia="Calibri" w:eastAsiaTheme="minorHAnsi"/>
          <w:sz w:val="28"/>
          <w:szCs w:val="28"/>
          <w:lang w:eastAsia="en-US"/>
        </w:rPr>
        <w:t xml:space="preserve">закрепленного на праве хозяйственного ведения либо оперативного управления (далее – имущество) за муниципальной организацией культуры.  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2. Муниципальная организация культуры по результатам рассмотрения заявки </w:t>
        <w:br/>
        <w:t xml:space="preserve">о необходимости заключения договора аренды в соответствии с </w:t>
      </w:r>
      <w:r>
        <w:rPr>
          <w:sz w:val="28"/>
          <w:szCs w:val="28"/>
        </w:rPr>
        <w:t>частью 3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статьи 17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26 июля 2006 года № 135–ФЗ «О защите конкуренции»</w:t>
      </w:r>
      <w:r>
        <w:rPr>
          <w:rFonts w:eastAsia="Calibri" w:eastAsiaTheme="minorHAnsi"/>
          <w:sz w:val="28"/>
          <w:szCs w:val="28"/>
          <w:lang w:eastAsia="en-US"/>
        </w:rPr>
        <w:t xml:space="preserve">, постановлением Правительства Российской Федерации от 9 сентября 2021 г. </w:t>
        <w:br/>
        <w:t xml:space="preserve">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 в </w:t>
      </w:r>
      <w:r>
        <w:rPr>
          <w:rFonts w:eastAsia="Calibri"/>
          <w:sz w:val="28"/>
          <w:szCs w:val="28"/>
          <w:lang w:eastAsia="en-US"/>
        </w:rPr>
        <w:t>Исполнительный комитет Буинского</w:t>
      </w:r>
      <w:r>
        <w:rPr>
          <w:rFonts w:eastAsia="Calibri" w:eastAsiaTheme="minorHAnsi"/>
          <w:sz w:val="28"/>
          <w:szCs w:val="28"/>
          <w:lang w:eastAsia="en-US"/>
        </w:rPr>
        <w:t xml:space="preserve"> полномочия собственника имущества </w:t>
      </w:r>
      <w:r>
        <w:rPr>
          <w:sz w:val="28"/>
          <w:szCs w:val="28"/>
        </w:rPr>
        <w:t>Буинского муниципального района Республики Татарстан</w:t>
      </w:r>
      <w:r>
        <w:rPr>
          <w:rFonts w:eastAsia="Calibri" w:eastAsiaTheme="minorHAnsi"/>
          <w:sz w:val="28"/>
          <w:szCs w:val="28"/>
          <w:lang w:eastAsia="en-US"/>
        </w:rPr>
        <w:t xml:space="preserve"> (далее – собственник имущества), </w:t>
      </w:r>
      <w:r>
        <w:rPr>
          <w:rFonts w:eastAsia="Calibri"/>
          <w:sz w:val="28"/>
          <w:szCs w:val="28"/>
          <w:lang w:eastAsia="en-US"/>
        </w:rPr>
        <w:t xml:space="preserve">а также </w:t>
      </w:r>
      <w:r>
        <w:rPr>
          <w:rFonts w:eastAsia="Calibri" w:eastAsiaTheme="minorHAnsi"/>
          <w:sz w:val="28"/>
          <w:szCs w:val="28"/>
          <w:lang w:eastAsia="en-US"/>
        </w:rPr>
        <w:t xml:space="preserve">исполняющий функции и полномочия учредителя (далее – учредитель), обращение о согласовании передачи заявителю в аренду имущества (далее </w:t>
      </w:r>
      <w:r>
        <w:rPr>
          <w:rFonts w:eastAsia="Calibri" w:eastAsiaTheme="minorHAnsi"/>
          <w:sz w:val="28"/>
          <w:szCs w:val="28"/>
          <w:lang w:val="tt-RU" w:eastAsia="en-US"/>
        </w:rPr>
        <w:t>–</w:t>
      </w:r>
      <w:r>
        <w:rPr>
          <w:rFonts w:eastAsia="Calibri" w:eastAsiaTheme="minorHAnsi"/>
          <w:sz w:val="28"/>
          <w:szCs w:val="28"/>
          <w:lang w:eastAsia="en-US"/>
        </w:rPr>
        <w:t xml:space="preserve"> обращение).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3. В обращении указываются следующие сведения: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2) сведения об имуществе, закрепленном на праве хозяйственного ведения </w:t>
        <w:br/>
        <w:t>либо оперативного управления, которое предлагается передать в аренду;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4) срок, на который предлагается заключить договор аренды;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5) правовое обоснование выбора предполагаемого арендатора для предоставления ему имущества в аренду без проведения конкурса или аукциона: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а) потребность арендатора в имуществе, предполагаемые цели использования имущества;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б) информация об ассортименте продукции и товаров, предлагаемых </w:t>
        <w:br/>
        <w:t xml:space="preserve">для реализации при оказании услуг общественного питания посетителям </w:t>
        <w:br/>
        <w:t>и работникам муниципальной организации культуры, – для организации общественного питания;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в) информация об ассортименте сувенирной, издательской и аудиовизуальной продукции – для юридических лиц и индивидуальных предпринимателей, осуществляющих розничную торговлю.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4. К обращению прилагаются следующие документы: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1) проект договора аренды имущества;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2) отчет об оценке рыночной стоимости арендной платы, подготовленный </w:t>
        <w:br/>
        <w:t>в соответствии с законодательством Российской Федерации об оценочной деятельности (со сроком давности не более 90 дней на дату представления);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  <w:br/>
        <w:t>не более 30 дней) – для индивидуальных предпринимателей;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5) выписка из Единого государственного реестра юридических лиц (со сроком давности не более 30 дней) – для юридических лиц.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5. В случае поступления в муниципальную организацию культуры заявок от двух и более заявителей в отношении аренды одного вида (видов) имущества, обращение направляется в порядке очередности исходя из даты поступления заявок.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6. Собственник муниципального имущества и учредитель рассматривают обращение и все приложенные к нему документы в течение 30 рабочих дней со дня их поступления и принимают одно из следующих решений: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1) согласовать передачу имущества в аренду;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2) отказать в согласовании передачи имущества в аренду.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7. Основаниями для отказа в согласовании передачи имущества в аренду являются: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3) передача имущества в аренду согласована по результатам рассмотрения обращения в отношении заявки, поступившей ранее в порядке очередности.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8. Принятое решение оформляется постановлением Исполнительного комитета Буинского муниципального района Республики Татарстан направляется муниципальной организации культуры в течение 30 дней со дня его принятия.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9. Решение об отказе в согласовании передачи имущества в аренду должно содержать обоснование причин отказа.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При принятии решения об отказе в согласовании передачи имущества в аренду обращение и прилагаемые к нему документы возвращаются муниципальной организации культуры в течение 20 дней со дня принятия такого решения.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10. Принятое решение о согласовании передачи имущества в аренду является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11. Муниципальная организация культуры в течение 30 дней со дня заключения договора аренды уведомляет в письменной форме Палату имущественных и земельных отношений Буинского муниципального района о заключении договора аренды (с приложением перечня переданного в аренду имущества и указанием срока его передачи в аренду).</w:t>
      </w:r>
    </w:p>
    <w:p>
      <w:pPr>
        <w:pStyle w:val="Normal"/>
        <w:rPr>
          <w:rFonts w:eastAsia="Calibri" w:eastAsiaTheme="minorHAnsi"/>
          <w:sz w:val="27"/>
          <w:szCs w:val="27"/>
          <w:lang w:eastAsia="en-US"/>
        </w:rPr>
      </w:pPr>
      <w:r>
        <w:rPr/>
      </w:r>
    </w:p>
    <w:sectPr>
      <w:headerReference w:type="default" r:id="rId5"/>
      <w:type w:val="nextPage"/>
      <w:pgSz w:w="11906" w:h="16838"/>
      <w:pgMar w:left="1276" w:right="567" w:header="709" w:top="1134" w:footer="0" w:bottom="851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73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f16088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5" w:customStyle="1">
    <w:name w:val="Текст сноски Знак"/>
    <w:basedOn w:val="DefaultParagraphFont"/>
    <w:link w:val="a9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65680"/>
    <w:rPr>
      <w:vertAlign w:val="superscript"/>
    </w:rPr>
  </w:style>
  <w:style w:type="character" w:styleId="Style17">
    <w:name w:val="Интернет-ссылка"/>
    <w:basedOn w:val="DefaultParagraphFont"/>
    <w:uiPriority w:val="99"/>
    <w:unhideWhenUsed/>
    <w:rsid w:val="00cd2dff"/>
    <w:rPr>
      <w:color w:val="0000FF"/>
      <w:u w:val="single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872580"/>
    <w:rPr>
      <w:color w:val="800080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f16088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6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8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note Text"/>
    <w:basedOn w:val="Normal"/>
    <w:link w:val="aa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78168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ua@tatar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946B-FCE8-4477-90BC-CCA877BD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5</Pages>
  <Words>938</Words>
  <Characters>6848</Characters>
  <CharactersWithSpaces>7782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2025-02-11T10:45:00Z</dcterms:created>
  <dc:creator>salahova</dc:creator>
  <dc:description/>
  <dc:language>ru-RU</dc:language>
  <cp:lastModifiedBy>Юрист</cp:lastModifiedBy>
  <cp:lastPrinted>2025-02-11T07:53:00Z</cp:lastPrinted>
  <dcterms:modified xsi:type="dcterms:W3CDTF">2025-02-11T10:45:00Z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