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КАЙБИЦЫ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КАЙБЫЧ</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Кайбицкое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Кайбицкое  сельское поселение Буинского муниципального района Республики Татарстан, принятого решением Совета Кайбицкое сельского поселения Буинского муниципального района РТ № 2-61 от 01.07.2015 (в редакции решений от 01.07.2016 № 15-1, от 29.09.2017 № 25-2, от 03.09.2018 № 49-1, от 28.08.2019  № 66-1, от 05.08.2020 № 93-1, от 24.05.2021 № 1-20, от 02.09.2022 № 57, от 18.12.2023 № 2-78), в соответствии с законодательством Совет Кайбицкого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Кайбицкогосельского поселения Буинского муниципального района Республики Татарстан «О внесении изменений и дополнений в Устав муниципального образования Кайбицкое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Кайбицкое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Нуретдинова Сирина Ильясовна – глава Кайбицкого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Шигабиева Алсу Талгатовна– секретарь Исполнительного комитета Кайбицкого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Кайбицкое сельское поселение Буинского муниципального района Республики Татарстан вносятся в Совет Кайбицкого сельского поселения Буинского муниципального района Республики Татарстан по адресу: 422418, РТ, Буинский район, с.Кайбицы, ул.Мирная, д.14,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422418, РТ, Буинский район,c. Кайбицы ул.Мирная д.14,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Кайбицком сельском поселении Буинского муниципального района Республики Татарстан», утвержденным Решением Кайбицкого сельского Совета Буинского муниципального района Республики Татарстан от 21.05.2007 года № 2-17, назначив их на 03.02.2025 года, в 10.00 часов, в зале заседаний исполнительного комитета Кайбицкого сельского поселения Буинского муниципального района Республики Татарстан по адресу: 422418, РТ, Буинский район, с.Кайбицы ул.Мирная д.14.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Кайбицкое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Кайбицкого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С.И.Нуретдинова</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Кайбицкое сельское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 Кайбицкое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Кайбицкое  сельское поселение Буинского муниципального района Республики Татарстан, принятого решением Совета Кайбицкого сельского поселения Буинского муниципального района РТ № 2-61 от 01.07.2015 (в редакции решений от 01.07.2016 № 15-1, от 29.09.2017 № 35-2, от 03.09.2018 № 49-1, от 28.08.2019  № 66-1, от 05.08.2020 № 93-1, от 24.05.2021 № 1-20, от 02.09.2022 № 57от 18.12.2023 № 2-78), в соответствии с законодательством Совет Кайбицкого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Кайбицкое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 xml:space="preserve">Устава муниципального образования Кайбицкое  сельское поселение Буинского муниципального района Республики Татарстан, принятого решением Совета Кайбицкого сельского поселения Буинского муниципального района РТ№ 2-61 от 01.07.2015 (в редакции решений от 01.07.2016 № 15-1, от 29.09.2017 № 35-2, от 03.09.2018 № 49-1, от 28.08.2019  № 66-1, от 05.08.2020 № 93-1, от 24.05.2021 № 1-20, от 02.09.2022 № 57от 18.12.2023 № 2-78). </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Главе Кайбицкого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V.</w:t>
      </w:r>
      <w:bookmarkStart w:id="0" w:name="_GoBack"/>
      <w:bookmarkEnd w:id="0"/>
      <w:r>
        <w:rPr>
          <w:rFonts w:cs="Times New Roman" w:ascii="PT Astra Fact" w:hAnsi="PT Astra Fact"/>
          <w:b/>
          <w:bCs/>
          <w:sz w:val="24"/>
          <w:szCs w:val="24"/>
        </w:rPr>
        <w:t xml:space="preserve"> </w:t>
      </w:r>
      <w:r>
        <w:rPr>
          <w:rFonts w:cs="Times New Roman" w:ascii="PT Astra Fact" w:hAnsi="PT Astra Fact"/>
          <w:sz w:val="24"/>
          <w:szCs w:val="24"/>
        </w:rPr>
        <w:t>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sz w:val="24"/>
          <w:szCs w:val="24"/>
        </w:rPr>
      </w:pPr>
      <w:r>
        <w:rPr>
          <w:sz w:val="24"/>
          <w:szCs w:val="24"/>
        </w:rPr>
      </w:r>
    </w:p>
    <w:p>
      <w:pPr>
        <w:pStyle w:val="ConsPlusNormal"/>
        <w:ind w:firstLine="709"/>
        <w:jc w:val="both"/>
        <w:rPr>
          <w:sz w:val="24"/>
          <w:szCs w:val="24"/>
        </w:rPr>
      </w:pPr>
      <w:r>
        <w:rPr>
          <w:rFonts w:cs="Times New Roman" w:ascii="PT Astra Fact" w:hAnsi="PT Astra Fact"/>
          <w:sz w:val="24"/>
          <w:szCs w:val="24"/>
        </w:rPr>
        <w:t>Глава Кайбицкого 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С.И.Нуретдинова</w:t>
      </w:r>
    </w:p>
    <w:sectPr>
      <w:type w:val="nextPage"/>
      <w:pgSz w:w="11906" w:h="16838"/>
      <w:pgMar w:left="1134" w:right="567" w:gutter="0" w:header="0" w:top="1140" w:footer="0" w:bottom="107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LibreOffice/7.5.6.2$Linux_X86_64 LibreOffice_project/50$Build-2</Application>
  <AppVersion>15.0000</AppVersion>
  <Pages>6</Pages>
  <Words>1773</Words>
  <Characters>12706</Characters>
  <CharactersWithSpaces>14585</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2025-01-16T06:07:00Z</dcterms:created>
  <dc:creator>Юрист</dc:creator>
  <dc:description/>
  <dc:language>ru-RU</dc:language>
  <cp:lastModifiedBy/>
  <cp:lastPrinted>2025-01-10T08:11:00Z</cp:lastPrinted>
  <dcterms:modified xsi:type="dcterms:W3CDTF">2025-03-26T15:28:04Z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