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4"/>
        <w:gridCol w:w="4669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БУИНСКИЙ МУНИЦИПАЛЬНЫЙ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РАЙОН СОВЕТ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БОЛЬШЕФРОЛОВСКОЕ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СЕЛЬСКОГО ПОСЕЛЕНИЯ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color w:val="000000"/>
              </w:rPr>
            </w:pPr>
            <w:r>
              <w:rPr>
                <w:rFonts w:ascii="PT Astra Fact" w:hAnsi="PT Astra Fact"/>
                <w:color w:val="000000"/>
              </w:rPr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БУА 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lang w:val="tt-RU"/>
              </w:rPr>
              <w:t>ЗУР ФРОЛОВО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АВЫЛ </w:t>
            </w:r>
            <w:r>
              <w:rPr>
                <w:rFonts w:ascii="PT Astra Fact" w:hAnsi="PT Astra Fact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СОВЕТЫ </w:t>
              <w:br/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cs="Arial" w:ascii="Times New Roman" w:hAnsi="Times New Roman"/>
          <w:sz w:val="28"/>
          <w:szCs w:val="28"/>
        </w:rPr>
        <w:t>Большефроловского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Arial" w:ascii="Times New Roman" w:hAnsi="Times New Roman"/>
          <w:sz w:val="28"/>
          <w:szCs w:val="28"/>
        </w:rPr>
        <w:t xml:space="preserve"> г. №</w:t>
      </w:r>
      <w:r>
        <w:rPr>
          <w:rFonts w:cs="Arial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Налоговым кодексом Российской Федерации, Совет </w:t>
      </w:r>
      <w:r>
        <w:rPr>
          <w:rFonts w:cs="Arial"/>
          <w:sz w:val="28"/>
          <w:szCs w:val="28"/>
        </w:rPr>
        <w:t xml:space="preserve">Большефроловского </w:t>
      </w:r>
      <w:r>
        <w:rPr>
          <w:sz w:val="28"/>
          <w:szCs w:val="28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</w:t>
      </w:r>
      <w:r>
        <w:rPr>
          <w:rFonts w:cs="Arial"/>
          <w:sz w:val="28"/>
          <w:szCs w:val="28"/>
        </w:rPr>
        <w:t>Большефроловского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</w:t>
      </w:r>
      <w:r>
        <w:rPr>
          <w:rFonts w:cs="Arial"/>
          <w:sz w:val="28"/>
          <w:szCs w:val="28"/>
        </w:rPr>
        <w:t xml:space="preserve"> г. № </w:t>
      </w:r>
      <w:r>
        <w:rPr>
          <w:rFonts w:cs="Arial"/>
          <w:sz w:val="28"/>
          <w:szCs w:val="28"/>
        </w:rPr>
        <w:t>____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решение Совета </w:t>
      </w:r>
      <w:r>
        <w:rPr>
          <w:rFonts w:cs="Arial"/>
          <w:sz w:val="28"/>
          <w:szCs w:val="28"/>
        </w:rPr>
        <w:t>Большефроловского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 xml:space="preserve">___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</w:t>
      </w:r>
      <w:r>
        <w:rPr>
          <w:rFonts w:cs="Arial"/>
          <w:sz w:val="28"/>
          <w:szCs w:val="28"/>
        </w:rPr>
        <w:t>Большефроловского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(с доп. и изм.</w:t>
      </w:r>
      <w:r>
        <w:rPr>
          <w:rFonts w:cs="Arial" w:ascii="Times" w:hAnsi="Times"/>
          <w:color w:val="000000"/>
          <w:sz w:val="28"/>
          <w:szCs w:val="28"/>
        </w:rPr>
        <w:t xml:space="preserve"> от </w:t>
      </w:r>
      <w:r>
        <w:rPr>
          <w:rFonts w:cs="Arial" w:ascii="Times" w:hAnsi="Times"/>
          <w:color w:val="000000"/>
          <w:sz w:val="28"/>
          <w:szCs w:val="28"/>
        </w:rPr>
        <w:t>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2.2.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2.3.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rFonts w:cs="Arial"/>
          <w:color w:val="000000"/>
          <w:sz w:val="28"/>
          <w:szCs w:val="28"/>
        </w:rPr>
        <w:t>2.3. в размере 0,3% в отношении земельных участков, занятых городским полигоном утилизации твердых коммунальных отходов.</w:t>
      </w:r>
      <w:r>
        <w:rPr>
          <w:color w:val="000000"/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И.о.председателя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и.о.Главы </w:t>
      </w:r>
      <w:r>
        <w:rPr>
          <w:rFonts w:cs="Arial"/>
          <w:sz w:val="28"/>
          <w:szCs w:val="28"/>
        </w:rPr>
        <w:t>Большефроловского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РТ                            </w:t>
        <w:tab/>
        <w:tab/>
        <w:t>М.С.Кудряшов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sectPr>
      <w:type w:val="nextPage"/>
      <w:pgSz w:w="11906" w:h="16838"/>
      <w:pgMar w:left="993" w:right="713" w:gutter="0" w:header="0" w:top="1134" w:footer="0" w:bottom="7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LibreOffice/7.5.6.2$Linux_X86_64 LibreOffice_project/50$Build-2</Application>
  <AppVersion>15.0000</AppVersion>
  <Pages>2</Pages>
  <Words>535</Words>
  <Characters>3849</Characters>
  <CharactersWithSpaces>4486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2025-05-07T07:45:00Z</cp:lastPrinted>
  <dcterms:modified xsi:type="dcterms:W3CDTF">2025-05-14T09:12:34Z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