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7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217"/>
        <w:gridCol w:w="520"/>
        <w:gridCol w:w="739"/>
        <w:gridCol w:w="4000"/>
      </w:tblGrid>
      <w:tr>
        <w:trPr>
          <w:trHeight w:val="1144" w:hRule="atLeast"/>
        </w:trPr>
        <w:tc>
          <w:tcPr>
            <w:tcW w:w="4217" w:type="dxa"/>
            <w:tcBorders/>
            <w:shd w:color="auto" w:fill="auto" w:val="clear"/>
            <w:vAlign w:val="center"/>
          </w:tcPr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РЕСПУБЛИКА ТАТАРСТАН</w:t>
            </w:r>
          </w:p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БУИНСКИЙ  МУНИЦИПАЛЬНЫЙ  РАЙОН</w:t>
            </w:r>
          </w:p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СОВЕТ РУНГИНСКОГО</w:t>
            </w:r>
          </w:p>
          <w:p>
            <w:pPr>
              <w:pStyle w:val="1"/>
              <w:widowControl w:val="false"/>
              <w:spacing w:lineRule="exact" w:line="300"/>
              <w:rPr>
                <w:sz w:val="28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СЕЛЬСКОГО ПОСЕЛЕНИЯ</w:t>
            </w:r>
          </w:p>
        </w:tc>
        <w:tc>
          <w:tcPr>
            <w:tcW w:w="12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/>
            <w:shd w:color="auto" w:fill="auto" w:val="clear"/>
            <w:vAlign w:val="center"/>
          </w:tcPr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</w:rPr>
            </w:pPr>
            <w:r>
              <w:rPr>
                <w:sz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</w:rPr>
            </w:pPr>
            <w:r>
              <w:rPr>
                <w:sz w:val="28"/>
              </w:rPr>
              <w:t>ЫРЫҢГЫ 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i/>
                <w:i/>
                <w:sz w:val="12"/>
              </w:rPr>
            </w:pPr>
            <w:r>
              <w:rPr>
                <w:sz w:val="28"/>
              </w:rPr>
              <w:t>СОВЕТЫ</w:t>
            </w:r>
          </w:p>
        </w:tc>
      </w:tr>
      <w:tr>
        <w:trPr>
          <w:trHeight w:val="499" w:hRule="atLeast"/>
        </w:trPr>
        <w:tc>
          <w:tcPr>
            <w:tcW w:w="9476" w:type="dxa"/>
            <w:gridSpan w:val="4"/>
            <w:tcBorders/>
            <w:shd w:color="auto" w:fill="auto" w:val="clear"/>
            <w:vAlign w:val="bottom"/>
          </w:tcPr>
          <w:p>
            <w:pPr>
              <w:pStyle w:val="1"/>
              <w:widowControl w:val="false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</w:r>
          </w:p>
        </w:tc>
      </w:tr>
      <w:tr>
        <w:trPr>
          <w:trHeight w:val="749" w:hRule="atLeast"/>
        </w:trPr>
        <w:tc>
          <w:tcPr>
            <w:tcW w:w="47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>
            <w:pPr>
              <w:pStyle w:val="Normal"/>
              <w:widowControl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с. Рунга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199.55pt;margin-top:9.7pt;width:99.8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с. Рунга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473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832" w:hRule="atLeast"/>
        </w:trPr>
        <w:tc>
          <w:tcPr>
            <w:tcW w:w="947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 Совета Рунгинс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______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г. №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____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В соответствии с Налоговым кодексом Российской Федерации, Совет Рунгинского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ab/>
      </w:r>
      <w:r>
        <w:rPr>
          <w:sz w:val="28"/>
          <w:szCs w:val="28"/>
          <w:shd w:fill="auto" w:val="clear"/>
        </w:rPr>
        <w:t xml:space="preserve">1. Признать утратившим силу Решение Совета Рунгинского сельского поселения Буинского муниципального района Республики Татарстан от </w:t>
      </w:r>
      <w:r>
        <w:rPr>
          <w:sz w:val="28"/>
          <w:szCs w:val="28"/>
          <w:shd w:fill="auto" w:val="clear"/>
        </w:rPr>
        <w:t>______</w:t>
      </w:r>
      <w:r>
        <w:rPr>
          <w:sz w:val="28"/>
          <w:szCs w:val="28"/>
          <w:shd w:fill="auto" w:val="clear"/>
        </w:rPr>
        <w:t xml:space="preserve"> года № </w:t>
      </w:r>
      <w:r>
        <w:rPr>
          <w:sz w:val="28"/>
          <w:szCs w:val="28"/>
          <w:shd w:fill="auto" w:val="clear"/>
        </w:rPr>
        <w:t>____</w:t>
      </w:r>
      <w:r>
        <w:rPr>
          <w:sz w:val="28"/>
          <w:szCs w:val="28"/>
          <w:shd w:fill="auto" w:val="clear"/>
        </w:rPr>
        <w:t xml:space="preserve"> «О внесении изменений в решение Совета Рунгинского сельского поселения Буинского муниципального района Республики Татарстан от  </w:t>
      </w:r>
      <w:r>
        <w:rPr>
          <w:sz w:val="28"/>
          <w:szCs w:val="28"/>
          <w:shd w:fill="auto" w:val="clear"/>
        </w:rPr>
        <w:t>______</w:t>
      </w:r>
      <w:r>
        <w:rPr>
          <w:sz w:val="28"/>
          <w:szCs w:val="28"/>
          <w:shd w:fill="auto" w:val="clear"/>
        </w:rPr>
        <w:t>г. №</w:t>
      </w:r>
      <w:r>
        <w:rPr>
          <w:sz w:val="28"/>
          <w:szCs w:val="28"/>
          <w:shd w:fill="auto" w:val="clear"/>
        </w:rPr>
        <w:t>____</w:t>
      </w:r>
      <w:r>
        <w:rPr>
          <w:sz w:val="28"/>
          <w:szCs w:val="28"/>
          <w:shd w:fill="auto" w:val="clear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2.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Внести в решение Совета Рунгинского сельского поселения Буинского муниципального района Республики Татарстан от </w:t>
      </w:r>
      <w:r>
        <w:rPr>
          <w:sz w:val="28"/>
          <w:szCs w:val="28"/>
          <w:shd w:fill="auto" w:val="clear"/>
        </w:rPr>
        <w:t>______</w:t>
      </w:r>
      <w:r>
        <w:rPr>
          <w:sz w:val="28"/>
          <w:szCs w:val="28"/>
          <w:shd w:fill="auto" w:val="clear"/>
        </w:rPr>
        <w:t>г. №</w:t>
      </w:r>
      <w:r>
        <w:rPr>
          <w:sz w:val="28"/>
          <w:szCs w:val="28"/>
          <w:shd w:fill="auto" w:val="clear"/>
        </w:rPr>
        <w:t>_____</w:t>
      </w:r>
      <w:r>
        <w:rPr>
          <w:sz w:val="28"/>
          <w:szCs w:val="28"/>
          <w:shd w:fill="auto" w:val="clear"/>
        </w:rPr>
        <w:t xml:space="preserve"> «О земельном налоге» (</w:t>
      </w:r>
      <w:r>
        <w:rPr>
          <w:sz w:val="28"/>
          <w:szCs w:val="28"/>
          <w:shd w:fill="auto" w:val="clear"/>
        </w:rPr>
        <w:t>_______</w:t>
      </w:r>
      <w:r>
        <w:rPr>
          <w:sz w:val="28"/>
          <w:szCs w:val="28"/>
          <w:shd w:fill="auto" w:val="clear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пункт </w:t>
      </w:r>
      <w:r>
        <w:rPr>
          <w:color w:val="000000"/>
          <w:sz w:val="28"/>
          <w:szCs w:val="28"/>
          <w:shd w:fill="auto" w:val="clear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«2) 0,1% в отношении земельных участков,</w:t>
      </w:r>
      <w:r>
        <w:rPr>
          <w:sz w:val="28"/>
          <w:szCs w:val="28"/>
          <w:shd w:fill="auto" w:val="clear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в пункте 3, 4, 5, 6 </w:t>
      </w:r>
      <w:r>
        <w:rPr>
          <w:color w:val="000000"/>
          <w:sz w:val="28"/>
          <w:szCs w:val="28"/>
          <w:shd w:fill="auto" w:val="clear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  <w:shd w:fill="auto" w:val="clear"/>
        </w:rPr>
        <w:t>_______</w:t>
      </w:r>
      <w:r>
        <w:rPr>
          <w:sz w:val="28"/>
          <w:szCs w:val="28"/>
          <w:shd w:fill="auto" w:val="clear"/>
        </w:rPr>
        <w:t xml:space="preserve">  года.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Рунгинского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Р.И.Гордеев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b318e1"/>
    <w:pPr>
      <w:keepNext w:val="true"/>
      <w:suppressAutoHyphens w:val="false"/>
      <w:jc w:val="center"/>
      <w:outlineLvl w:val="0"/>
    </w:pPr>
    <w:rPr>
      <w:b/>
      <w:color w:val="0000FF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qFormat/>
    <w:rsid w:val="00b318e1"/>
    <w:rPr>
      <w:rFonts w:ascii="Times New Roman" w:hAnsi="Times New Roman" w:eastAsia="Times New Roman" w:cs="Times New Roman"/>
      <w:b/>
      <w:color w:val="0000FF"/>
      <w:sz w:val="20"/>
      <w:szCs w:val="20"/>
      <w:lang w:val="x-none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4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LibreOffice/7.5.6.2$Linux_X86_64 LibreOffice_project/50$Build-2</Application>
  <AppVersion>15.0000</AppVersion>
  <Pages>2</Pages>
  <Words>502</Words>
  <Characters>3614</Characters>
  <CharactersWithSpaces>4136</CharactersWithSpaces>
  <Paragraphs>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2025-05-14T10:00:09Z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