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97" w:type="dxa"/>
        <w:jc w:val="left"/>
        <w:tblInd w:w="-249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48"/>
        <w:gridCol w:w="1290"/>
        <w:gridCol w:w="4659"/>
      </w:tblGrid>
      <w:tr>
        <w:trPr>
          <w:trHeight w:val="1560" w:hRule="atLeast"/>
        </w:trPr>
        <w:tc>
          <w:tcPr>
            <w:tcW w:w="464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БУИНСКИЙ МУНИЦИПАЛЬНЫЙ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РАЙОН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 xml:space="preserve"> </w:t>
            </w:r>
            <w:r>
              <w:rPr>
                <w:rFonts w:ascii="PT Astra Fact" w:hAnsi="PT Astra Fact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ЧУВАШСКО-КИЩАКОВСКОГО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СЕЛЬСКОГО ПОСЕЛЕНИЯ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color w:val="000000"/>
              </w:rPr>
            </w:pPr>
            <w:r>
              <w:rPr>
                <w:rFonts w:ascii="PT Astra Fact" w:hAnsi="PT Astra Fact"/>
                <w:color w:val="000000"/>
              </w:rPr>
            </w:r>
          </w:p>
        </w:tc>
        <w:tc>
          <w:tcPr>
            <w:tcW w:w="129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  <w:lang w:val="tt-RU"/>
              </w:rPr>
              <w:t>ЧУАШ КИШТЭГЕ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 xml:space="preserve">АВЫЛ </w:t>
            </w:r>
            <w:r>
              <w:rPr>
                <w:rFonts w:ascii="PT Astra Fact" w:hAnsi="PT Astra Fact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 w:eastAsia="Calibri" w:cs="Calibri"/>
              </w:rPr>
            </w:pPr>
            <w:r>
              <w:rPr>
                <w:rFonts w:ascii="PT Astra Fact" w:hAnsi="PT Astra Fact"/>
              </w:rPr>
              <w:t xml:space="preserve">СОВЕТЫ </w:t>
              <w:br/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Чувашско-Кищаковского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Times New Roman" w:ascii="Times New Roman" w:hAnsi="Times New Roman"/>
          <w:sz w:val="28"/>
          <w:szCs w:val="28"/>
        </w:rPr>
        <w:t>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00" w:val="clear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Чувашско-Кищаковского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Чувашско-Кищаковского сельского поселения Буинского муниципального района Республики Татарстан </w:t>
      </w:r>
      <w:bookmarkStart w:id="0" w:name="_GoBack"/>
      <w:bookmarkEnd w:id="0"/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Чувашско-Кищаковского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Чувашско-Кищаковского сельского поселения Буинского муниципального района Республики Татарстан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(с доп. и изм.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Чувашско-Кищаковского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      И.А.Павлов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LibreOffice/7.5.6.2$Linux_X86_64 LibreOffice_project/50$Build-2</Application>
  <AppVersion>15.0000</AppVersion>
  <Pages>2</Pages>
  <Words>507</Words>
  <Characters>3689</Characters>
  <CharactersWithSpaces>4308</CharactersWithSpaces>
  <Paragraphs>39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2025-05-14T10:54:35Z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