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ТИМБАЕВСКОГО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ТИМБАЙ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Тимбаевского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Буинского муниципаль</w:t>
      </w:r>
      <w:r>
        <w:rPr>
          <w:sz w:val="26"/>
          <w:szCs w:val="26"/>
          <w:shd w:fill="auto" w:val="clear"/>
        </w:rPr>
        <w:t xml:space="preserve">ного района </w:t>
      </w:r>
    </w:p>
    <w:p>
      <w:pPr>
        <w:pStyle w:val="Normal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Тимбаевского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Тимбаевского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Тимбаевского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  </w:t>
      </w:r>
      <w:bookmarkStart w:id="0" w:name="_GoBack"/>
      <w:r>
        <w:rPr>
          <w:sz w:val="26"/>
          <w:szCs w:val="26"/>
        </w:rPr>
        <w:t xml:space="preserve">   И.Г.Айзатуллин</w:t>
      </w:r>
      <w:bookmarkEnd w:id="0"/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</Pages>
  <Words>171</Words>
  <Characters>1374</Characters>
  <CharactersWithSpaces>1632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2025-12-16T12:53:00Z</dcterms:created>
  <dc:creator>buin-fbp02</dc:creator>
  <dc:description/>
  <dc:language>ru-RU</dc:language>
  <cp:lastModifiedBy/>
  <cp:lastPrinted>2024-09-30T07:39:00Z</cp:lastPrinted>
  <dcterms:modified xsi:type="dcterms:W3CDTF">2025-12-19T09:04:13Z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