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ТИМБАЕВСКОГО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ТИМБАЙ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Тимбаевского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Тимбаевского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Тимбаевского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Тимбаевского сельского поселения                                         И.Г.Айзатуллин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7735126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79080301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8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000-1E4F-44F7-B85D-FE467DAC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LibreOffice/7.5.6.2$Linux_X86_64 LibreOffice_project/50$Build-2</Application>
  <AppVersion>15.0000</AppVersion>
  <Pages>1</Pages>
  <Words>169</Words>
  <Characters>1411</Characters>
  <CharactersWithSpaces>1772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2025-10-14T08:26:00Z</dcterms:created>
  <dc:creator>Галимуллин Ренат Равилевич</dc:creator>
  <dc:description/>
  <dc:language>ru-RU</dc:language>
  <cp:lastModifiedBy/>
  <cp:lastPrinted>2014-11-13T12:13:00Z</cp:lastPrinted>
  <dcterms:modified xsi:type="dcterms:W3CDTF">2025-12-26T11:14:46Z</dcterms:modified>
  <cp:revision>5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