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присвоению адреса объекту адресации, </w:t>
      </w: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и аннулирование такого адреса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</w:t>
      </w:r>
      <w:r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</w:t>
      </w:r>
      <w:r>
        <w:rPr>
          <w:rFonts w:ascii="Times New Roman" w:hAnsi="Times New Roman"/>
          <w:sz w:val="28"/>
          <w:szCs w:val="28"/>
        </w:rPr>
        <w:t>новлением Кабинета Министра в Республики Татарстан от 28.02.2022 №175 «Об  утверждении  Порядка  разработки  и  утверждения  административных регламентов предоставления государственных услуг республиканскими органами исполнительной власти и о признании утр</w:t>
      </w:r>
      <w:r>
        <w:rPr>
          <w:rFonts w:ascii="Times New Roman" w:hAnsi="Times New Roman"/>
          <w:sz w:val="28"/>
          <w:szCs w:val="28"/>
        </w:rPr>
        <w:t>атившими силу отдельных постановлений Кабинета Министров Республики Татарстан» Исполнительный комитет города Буинск Буинского муниципального района Республики Татарстан п о с т а н о в л я е т :</w:t>
      </w:r>
    </w:p>
    <w:p w:rsidR="004420A5" w:rsidRDefault="004420A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</w:t>
      </w:r>
      <w:r>
        <w:rPr>
          <w:rFonts w:ascii="Times New Roman" w:hAnsi="Times New Roman"/>
          <w:sz w:val="28"/>
          <w:szCs w:val="28"/>
        </w:rPr>
        <w:t>ипальной услуги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присвоению адреса объекту адресации, изменение и аннулирование такого адреса. </w:t>
      </w:r>
    </w:p>
    <w:p w:rsidR="004420A5" w:rsidRDefault="004131F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2.Постановление Исполнительного комитета города Буинска Буинского муниципального района Республики Татарстан от 16.08.2021г. №62 «Об утверждении Административ</w:t>
      </w:r>
      <w:r>
        <w:rPr>
          <w:rFonts w:ascii="Times New Roman" w:hAnsi="Times New Roman"/>
          <w:sz w:val="28"/>
          <w:szCs w:val="28"/>
        </w:rPr>
        <w:t>ного регламента предоставления муниципальной услуги по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присвоению, изменению и аннулированию адресов».</w:t>
      </w:r>
    </w:p>
    <w:p w:rsidR="004420A5" w:rsidRDefault="004131F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(http:pravo.tatarstan.ru) и на официальном сайте </w:t>
      </w:r>
      <w:r>
        <w:rPr>
          <w:rFonts w:ascii="Times New Roman" w:hAnsi="Times New Roman"/>
          <w:sz w:val="28"/>
          <w:szCs w:val="28"/>
        </w:rPr>
        <w:t>Буинского муниципального района.</w:t>
      </w:r>
    </w:p>
    <w:p w:rsidR="004420A5" w:rsidRDefault="004131F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города Буинска</w:t>
      </w: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     А.М. Сафин</w:t>
      </w:r>
    </w:p>
    <w:p w:rsidR="004420A5" w:rsidRDefault="004420A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Приложение </w:t>
      </w:r>
    </w:p>
    <w:p w:rsidR="004420A5" w:rsidRDefault="004131F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города Буинска Буинского муниципального района Республики Татарстан </w:t>
      </w:r>
    </w:p>
    <w:p w:rsidR="004420A5" w:rsidRDefault="004131F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4420A5" w:rsidRDefault="00442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адреса объекту адресации, изменение и аннулирование такого адреса</w:t>
      </w:r>
    </w:p>
    <w:p w:rsidR="004420A5" w:rsidRDefault="004420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4420A5" w:rsidRDefault="004420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</w:t>
      </w:r>
      <w:r>
        <w:rPr>
          <w:rFonts w:ascii="Times New Roman" w:hAnsi="Times New Roman"/>
          <w:sz w:val="28"/>
          <w:szCs w:val="28"/>
        </w:rPr>
        <w:t>ент) устанавливает стандарт и порядок 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</w:t>
      </w:r>
      <w:r>
        <w:rPr>
          <w:rFonts w:ascii="Times New Roman" w:hAnsi="Times New Roman"/>
          <w:sz w:val="28"/>
          <w:szCs w:val="28"/>
        </w:rPr>
        <w:t>лее – заявитель).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</w:t>
      </w:r>
      <w:r>
        <w:rPr>
          <w:rFonts w:ascii="Times New Roman" w:hAnsi="Times New Roman"/>
          <w:sz w:val="28"/>
          <w:szCs w:val="28"/>
        </w:rPr>
        <w:t>ии: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4420A5" w:rsidRDefault="004131F1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Интересы заявителей могут представлять лица, уполномоченные заявителем в установленном </w:t>
      </w:r>
      <w:r>
        <w:rPr>
          <w:rFonts w:ascii="Times New Roman" w:hAnsi="Times New Roman" w:cs="Times New Roman"/>
          <w:sz w:val="28"/>
        </w:rPr>
        <w:t>порядке, и законные представители физических лиц (далее – представитель заявителя).</w:t>
      </w:r>
    </w:p>
    <w:p w:rsidR="004420A5" w:rsidRDefault="004131F1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</w:t>
      </w:r>
      <w:r>
        <w:rPr>
          <w:rFonts w:ascii="Times New Roman" w:hAnsi="Times New Roman" w:cs="Times New Roman"/>
          <w:sz w:val="28"/>
        </w:rPr>
        <w:t xml:space="preserve"> в установленном законодательством Российской Федерации порядке решением общего собрания указанных собственников.</w:t>
      </w:r>
    </w:p>
    <w:p w:rsidR="004420A5" w:rsidRDefault="004131F1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</w:t>
      </w:r>
      <w:r>
        <w:rPr>
          <w:rFonts w:ascii="Times New Roman" w:hAnsi="Times New Roman" w:cs="Times New Roman"/>
          <w:sz w:val="28"/>
        </w:rPr>
        <w:t>лномоченный на подачу такого заявления принятым решением общего собрания членов такого товарищества.</w:t>
      </w:r>
    </w:p>
    <w:p w:rsidR="004420A5" w:rsidRDefault="004131F1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</w:t>
      </w:r>
      <w:r>
        <w:rPr>
          <w:rFonts w:ascii="Times New Roman" w:hAnsi="Times New Roman" w:cs="Times New Roman"/>
          <w:sz w:val="28"/>
        </w:rPr>
        <w:t>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Муниципальная услуга должна быть предоставлена заявител</w:t>
      </w:r>
      <w:r>
        <w:rPr>
          <w:rFonts w:ascii="Times New Roman" w:hAnsi="Times New Roman"/>
          <w:sz w:val="28"/>
          <w:szCs w:val="28"/>
        </w:rPr>
        <w:t>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4420A5" w:rsidRDefault="004420A5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</w:t>
      </w:r>
      <w:r>
        <w:rPr>
          <w:rFonts w:ascii="Times New Roman" w:hAnsi="Times New Roman"/>
          <w:b/>
          <w:bCs/>
          <w:sz w:val="28"/>
          <w:szCs w:val="28"/>
        </w:rPr>
        <w:t>ной услуги</w:t>
      </w:r>
    </w:p>
    <w:p w:rsidR="004420A5" w:rsidRDefault="004420A5">
      <w:pPr>
        <w:pStyle w:val="aff5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Присвоение</w:t>
      </w:r>
      <w:r>
        <w:t xml:space="preserve"> </w:t>
      </w:r>
      <w:r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Муниципальную услугу предоставляет Исполнительный комитет города </w:t>
      </w:r>
      <w:r>
        <w:rPr>
          <w:rFonts w:ascii="Times New Roman" w:hAnsi="Times New Roman"/>
          <w:sz w:val="28"/>
          <w:szCs w:val="28"/>
        </w:rPr>
        <w:t>Буинска Буинского муниципального района Республики Татарстан.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</w:t>
      </w:r>
      <w:r>
        <w:rPr>
          <w:rFonts w:ascii="Times New Roman" w:hAnsi="Times New Roman"/>
          <w:sz w:val="28"/>
          <w:szCs w:val="28"/>
        </w:rPr>
        <w:t xml:space="preserve">й услуги заявитель вправе обратиться в МФЦ, уполномоченный на организацию в предоставлении муниципальной услуги в части приема и регистрации документов у заявителя, запроса недостающих документов, находящихся в распоряжении органов государственной власти,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самоуправления, и подведомственных этим органам организаций (в случае, если это предусмотрено соглашением о взаимодействии), уведомление и выдачи результата муниципальной услуги заявителю. 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аннулировании адреса объекта адресации</w:t>
      </w:r>
      <w:r>
        <w:rPr>
          <w:rFonts w:ascii="Times New Roman" w:hAnsi="Times New Roman"/>
          <w:sz w:val="28"/>
          <w:szCs w:val="28"/>
        </w:rPr>
        <w:t xml:space="preserve">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сведений в реестр подтверждается соответствующей выпиской из государственного адресного реестра, оформляемой </w:t>
      </w:r>
      <w:r>
        <w:rPr>
          <w:rFonts w:ascii="Times New Roman" w:hAnsi="Times New Roman"/>
          <w:sz w:val="28"/>
          <w:szCs w:val="28"/>
        </w:rPr>
        <w:t>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</w:t>
      </w:r>
      <w:r>
        <w:rPr>
          <w:rFonts w:ascii="Times New Roman" w:hAnsi="Times New Roman"/>
          <w:sz w:val="28"/>
          <w:szCs w:val="28"/>
        </w:rPr>
        <w:t>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</w:t>
      </w:r>
      <w:r>
        <w:rPr>
          <w:rFonts w:ascii="Times New Roman" w:hAnsi="Times New Roman"/>
          <w:sz w:val="28"/>
          <w:szCs w:val="28"/>
        </w:rPr>
        <w:t xml:space="preserve">а, подписанного усиленной квалифицированной </w:t>
      </w:r>
      <w:r>
        <w:rPr>
          <w:rFonts w:ascii="Times New Roman" w:hAnsi="Times New Roman"/>
          <w:sz w:val="28"/>
          <w:szCs w:val="28"/>
        </w:rPr>
        <w:lastRenderedPageBreak/>
        <w:t xml:space="preserve">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</w:t>
      </w:r>
      <w:r>
        <w:rPr>
          <w:rFonts w:ascii="Times New Roman" w:hAnsi="Times New Roman"/>
          <w:sz w:val="28"/>
          <w:szCs w:val="28"/>
        </w:rPr>
        <w:t>портала, Республиканского портала или портала адресной системы.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</w:t>
      </w:r>
      <w:r>
        <w:rPr>
          <w:rFonts w:ascii="Times New Roman" w:hAnsi="Times New Roman"/>
          <w:sz w:val="28"/>
          <w:szCs w:val="28"/>
        </w:rPr>
        <w:t>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а) в случае подачи </w:t>
      </w:r>
      <w:r>
        <w:rPr>
          <w:rFonts w:ascii="Times New Roman" w:hAnsi="Times New Roman" w:cs="Courier New"/>
          <w:sz w:val="28"/>
          <w:szCs w:val="20"/>
        </w:rPr>
        <w:t>заявления на бумажном носителе - в срок не более 10 рабочих дней со дня поступления заявления;</w:t>
      </w: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</w:t>
      </w:r>
      <w:r>
        <w:rPr>
          <w:rFonts w:ascii="Times New Roman" w:hAnsi="Times New Roman" w:cs="Courier New"/>
          <w:sz w:val="28"/>
          <w:szCs w:val="20"/>
        </w:rPr>
        <w:t>ия муниципальной услуги не предусмотрено.</w:t>
      </w:r>
    </w:p>
    <w:p w:rsidR="004420A5" w:rsidRDefault="004131F1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420A5" w:rsidRDefault="004131F1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</w:t>
      </w:r>
      <w:r>
        <w:rPr>
          <w:rFonts w:ascii="Times New Roman" w:hAnsi="Times New Roman"/>
          <w:sz w:val="28"/>
          <w:szCs w:val="28"/>
        </w:rPr>
        <w:t>иципальной услуги</w:t>
      </w:r>
    </w:p>
    <w:p w:rsidR="004420A5" w:rsidRDefault="004420A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</w:t>
      </w:r>
      <w:r>
        <w:rPr>
          <w:rFonts w:ascii="Times New Roman" w:hAnsi="Times New Roman"/>
          <w:sz w:val="28"/>
          <w:szCs w:val="28"/>
        </w:rPr>
        <w:t>лжны представляться заявителем самостоятельно, либо представление документов, содержащих противоречивые сведения;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</w:t>
      </w:r>
      <w:r>
        <w:rPr>
          <w:rFonts w:ascii="Times New Roman" w:hAnsi="Times New Roman"/>
          <w:sz w:val="28"/>
          <w:szCs w:val="28"/>
        </w:rPr>
        <w:t>апроса) от имени заявителя не уполномоченным на то лицом;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</w:t>
      </w:r>
      <w:r>
        <w:rPr>
          <w:rFonts w:ascii="Times New Roman" w:hAnsi="Times New Roman"/>
          <w:sz w:val="28"/>
          <w:szCs w:val="28"/>
        </w:rPr>
        <w:t>нозначно истолковать их содержание, документов, утративших силу;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</w:t>
      </w:r>
      <w:r>
        <w:rPr>
          <w:rFonts w:ascii="Times New Roman" w:hAnsi="Times New Roman"/>
          <w:sz w:val="28"/>
          <w:szCs w:val="28"/>
        </w:rPr>
        <w:t>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</w:t>
      </w:r>
      <w:r>
        <w:rPr>
          <w:rFonts w:ascii="Times New Roman" w:hAnsi="Times New Roman"/>
          <w:sz w:val="28"/>
          <w:szCs w:val="28"/>
        </w:rPr>
        <w:t>ентах</w:t>
      </w:r>
      <w:r>
        <w:t>;</w:t>
      </w:r>
    </w:p>
    <w:p w:rsidR="004420A5" w:rsidRDefault="004131F1">
      <w:pPr>
        <w:pStyle w:val="aff5"/>
        <w:numPr>
          <w:ilvl w:val="0"/>
          <w:numId w:val="3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4420A5" w:rsidRDefault="004131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</w:t>
      </w:r>
      <w:r>
        <w:rPr>
          <w:rFonts w:ascii="Times New Roman" w:hAnsi="Times New Roman"/>
          <w:sz w:val="28"/>
          <w:szCs w:val="28"/>
        </w:rPr>
        <w:t>зе в предоставление муниципальной услуги принимается по следующим основаниям:</w:t>
      </w:r>
    </w:p>
    <w:p w:rsidR="004420A5" w:rsidRDefault="004131F1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 xml:space="preserve"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</w:t>
      </w:r>
      <w:r>
        <w:rPr>
          <w:rFonts w:ascii="Times New Roman" w:hAnsi="Times New Roman" w:cs="Courier New"/>
          <w:sz w:val="28"/>
          <w:szCs w:val="20"/>
        </w:rPr>
        <w:t>и соответствующий документ не был представлен заявителем (представителем заявителя) по собственной инициативе;</w:t>
      </w:r>
    </w:p>
    <w:p w:rsidR="004420A5" w:rsidRDefault="004131F1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4420A5" w:rsidRDefault="004131F1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</w:t>
      </w:r>
      <w:r>
        <w:rPr>
          <w:rFonts w:ascii="Times New Roman" w:hAnsi="Times New Roman" w:cs="Courier New"/>
          <w:sz w:val="28"/>
          <w:szCs w:val="20"/>
        </w:rPr>
        <w:t>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420A5" w:rsidRDefault="004131F1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4) отсутствуют случаи и условия для присвоения объекту адресации </w:t>
      </w:r>
      <w:r>
        <w:rPr>
          <w:rFonts w:ascii="Times New Roman" w:hAnsi="Times New Roman" w:cs="Courier New"/>
          <w:sz w:val="28"/>
          <w:szCs w:val="20"/>
        </w:rPr>
        <w:t>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4420A5" w:rsidRDefault="004131F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</w:t>
      </w:r>
      <w:r>
        <w:rPr>
          <w:rFonts w:ascii="Times New Roman" w:hAnsi="Times New Roman"/>
          <w:sz w:val="28"/>
          <w:szCs w:val="28"/>
        </w:rPr>
        <w:t>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420A5" w:rsidRDefault="004420A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</w:t>
      </w:r>
      <w:r>
        <w:rPr>
          <w:rFonts w:ascii="Times New Roman" w:hAnsi="Times New Roman"/>
          <w:sz w:val="28"/>
          <w:szCs w:val="28"/>
        </w:rPr>
        <w:t>ниципальной услуги, и способы ее взимания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</w:t>
      </w:r>
      <w:r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</w:t>
      </w:r>
    </w:p>
    <w:p w:rsidR="004420A5" w:rsidRDefault="004420A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получении результата предоставления муниципальной услуги максимальный срок ожидания в </w:t>
      </w:r>
      <w:r>
        <w:rPr>
          <w:rFonts w:ascii="Times New Roman" w:hAnsi="Times New Roman"/>
          <w:sz w:val="28"/>
          <w:szCs w:val="28"/>
        </w:rPr>
        <w:t>очереди не должен превышать 15 минут.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420A5" w:rsidRDefault="004420A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личном обращении в МФЦ в день подачи заявления заявителю выдается расписка из АИС МФЦ с регистрационным номером, подтверждающим, что за</w:t>
      </w:r>
      <w:r>
        <w:rPr>
          <w:rFonts w:ascii="Times New Roman" w:hAnsi="Times New Roman"/>
          <w:sz w:val="28"/>
          <w:szCs w:val="28"/>
        </w:rPr>
        <w:t xml:space="preserve">явление отправлено, и датой подачи заявления. 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</w:t>
      </w:r>
      <w:r>
        <w:rPr>
          <w:rFonts w:ascii="Times New Roman" w:hAnsi="Times New Roman"/>
          <w:sz w:val="28"/>
          <w:szCs w:val="28"/>
        </w:rPr>
        <w:t>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личном обращении в Исполком в день подачи заявления в двух экземплярах уполномоченным должностным лицом Исполкома заявит</w:t>
      </w:r>
      <w:r>
        <w:rPr>
          <w:rFonts w:ascii="Times New Roman" w:hAnsi="Times New Roman"/>
          <w:sz w:val="28"/>
          <w:szCs w:val="28"/>
        </w:rPr>
        <w:t xml:space="preserve">елю возвращается один экземпляр с указанием даты принятия заявления и приложенных к нему документов. 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4420A5" w:rsidRDefault="004420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Предоставление муниципальной услуги осуществляется в зданиях и помещениях, о</w:t>
      </w:r>
      <w:r>
        <w:rPr>
          <w:rFonts w:ascii="Times New Roman" w:hAnsi="Times New Roman"/>
          <w:sz w:val="28"/>
          <w:szCs w:val="28"/>
        </w:rPr>
        <w:t xml:space="preserve">борудованных противопожарной системой и системой пожаротушения. 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</w:t>
      </w:r>
      <w:r>
        <w:rPr>
          <w:rFonts w:ascii="Times New Roman" w:hAnsi="Times New Roman"/>
          <w:sz w:val="28"/>
          <w:szCs w:val="28"/>
        </w:rPr>
        <w:t>валидов в целях беспрепятственного доступа к месту предоставления муниципальной услуги обеспечивается: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</w:t>
      </w:r>
      <w:r>
        <w:rPr>
          <w:rFonts w:ascii="Times New Roman" w:hAnsi="Times New Roman"/>
          <w:sz w:val="28"/>
          <w:szCs w:val="28"/>
        </w:rPr>
        <w:t>х);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</w:t>
      </w:r>
      <w:r>
        <w:rPr>
          <w:rFonts w:ascii="Times New Roman" w:hAnsi="Times New Roman"/>
          <w:sz w:val="28"/>
          <w:szCs w:val="28"/>
        </w:rPr>
        <w:t>ройства функции зрения и самостоятельного передвижения, и оказание им помощи;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</w:t>
      </w:r>
      <w:r>
        <w:rPr>
          <w:rFonts w:ascii="Times New Roman" w:hAnsi="Times New Roman"/>
          <w:sz w:val="28"/>
          <w:szCs w:val="28"/>
        </w:rPr>
        <w:t>них, посадки в транспортное средство и высадки из него, в том числе с использованием кресла-коляски;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</w:t>
      </w:r>
      <w:r>
        <w:rPr>
          <w:rFonts w:ascii="Times New Roman" w:hAnsi="Times New Roman"/>
          <w:sz w:val="28"/>
          <w:szCs w:val="28"/>
        </w:rPr>
        <w:t>ий их жизнедеятельности;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r>
        <w:rPr>
          <w:rFonts w:ascii="Times New Roman" w:hAnsi="Times New Roman"/>
          <w:sz w:val="28"/>
          <w:szCs w:val="28"/>
        </w:rPr>
        <w:t>тифлосурдопереводчика;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</w:t>
      </w:r>
      <w:r>
        <w:rPr>
          <w:rFonts w:ascii="Times New Roman" w:hAnsi="Times New Roman"/>
          <w:sz w:val="28"/>
          <w:szCs w:val="28"/>
        </w:rPr>
        <w:t>6н «Об утверждении формы документа, подтверждающего специальное обучение собаки-проводника, и порядка его выдачи».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</w:t>
      </w:r>
      <w:r>
        <w:rPr>
          <w:rFonts w:ascii="Times New Roman" w:hAnsi="Times New Roman"/>
          <w:sz w:val="28"/>
          <w:szCs w:val="28"/>
        </w:rPr>
        <w:t>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</w:t>
      </w:r>
      <w:r>
        <w:rPr>
          <w:rFonts w:ascii="Times New Roman" w:hAnsi="Times New Roman"/>
          <w:sz w:val="28"/>
          <w:szCs w:val="28"/>
        </w:rPr>
        <w:t>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</w:t>
      </w:r>
      <w:r>
        <w:rPr>
          <w:rFonts w:ascii="Times New Roman" w:hAnsi="Times New Roman"/>
          <w:sz w:val="28"/>
          <w:szCs w:val="28"/>
        </w:rPr>
        <w:t>авления муниципальной услуги являются: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</w:t>
      </w:r>
      <w:r>
        <w:rPr>
          <w:rFonts w:ascii="Times New Roman" w:hAnsi="Times New Roman"/>
          <w:sz w:val="28"/>
          <w:szCs w:val="28"/>
        </w:rPr>
        <w:t>нтов от заявителей;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помощи инвалидам </w:t>
      </w:r>
      <w:r>
        <w:rPr>
          <w:rFonts w:ascii="Times New Roman" w:hAnsi="Times New Roman"/>
          <w:sz w:val="28"/>
          <w:szCs w:val="28"/>
        </w:rPr>
        <w:t>в преодолении барьеров, мешающих получению ими услуг наравне с другими лицами.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4420A5" w:rsidRDefault="004131F1">
      <w:pPr>
        <w:pStyle w:val="aff5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420A5" w:rsidRDefault="004131F1">
      <w:pPr>
        <w:pStyle w:val="aff5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срока получения результата муниципальной</w:t>
      </w:r>
      <w:r>
        <w:rPr>
          <w:rFonts w:ascii="Times New Roman" w:hAnsi="Times New Roman"/>
          <w:sz w:val="28"/>
          <w:szCs w:val="28"/>
        </w:rPr>
        <w:t xml:space="preserve"> услуги; </w:t>
      </w:r>
    </w:p>
    <w:p w:rsidR="004420A5" w:rsidRDefault="004131F1">
      <w:pPr>
        <w:pStyle w:val="aff5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4420A5" w:rsidRDefault="004131F1">
      <w:pPr>
        <w:pStyle w:val="aff5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</w:t>
      </w:r>
      <w:r>
        <w:rPr>
          <w:rFonts w:ascii="Times New Roman" w:hAnsi="Times New Roman"/>
          <w:sz w:val="28"/>
          <w:szCs w:val="28"/>
        </w:rPr>
        <w:t>иципальной услуги осуществляется один раз при представлении заявления со всеми необходимыми документами;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</w:t>
      </w:r>
      <w:r>
        <w:rPr>
          <w:rFonts w:ascii="Times New Roman" w:hAnsi="Times New Roman"/>
          <w:sz w:val="28"/>
          <w:szCs w:val="28"/>
        </w:rPr>
        <w:t xml:space="preserve">ом носителе.  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</w:t>
      </w:r>
      <w:r>
        <w:rPr>
          <w:rFonts w:ascii="Times New Roman" w:hAnsi="Times New Roman"/>
          <w:sz w:val="28"/>
          <w:szCs w:val="28"/>
        </w:rPr>
        <w:t xml:space="preserve">зи, с использованием Единого портала, Республиканского портала, терминальных устройств. 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Оптимизация процессов предоставления услуги </w:t>
      </w:r>
      <w:r>
        <w:rPr>
          <w:rFonts w:ascii="Times New Roman" w:hAnsi="Times New Roman"/>
          <w:sz w:val="28"/>
          <w:szCs w:val="28"/>
        </w:rPr>
        <w:t>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</w:t>
      </w:r>
      <w:r>
        <w:rPr>
          <w:rFonts w:ascii="Times New Roman" w:hAnsi="Times New Roman"/>
          <w:sz w:val="28"/>
          <w:szCs w:val="28"/>
        </w:rPr>
        <w:t xml:space="preserve"> не реже одного раза в пять лет.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</w:t>
      </w:r>
      <w:r>
        <w:rPr>
          <w:rFonts w:ascii="Times New Roman" w:hAnsi="Times New Roman"/>
          <w:sz w:val="28"/>
          <w:szCs w:val="28"/>
        </w:rPr>
        <w:t>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</w:t>
      </w:r>
      <w:r>
        <w:rPr>
          <w:rFonts w:ascii="Times New Roman" w:hAnsi="Times New Roman"/>
          <w:sz w:val="28"/>
          <w:szCs w:val="28"/>
        </w:rPr>
        <w:t>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4420A5" w:rsidRDefault="004420A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4420A5" w:rsidRDefault="004420A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При предоставлении муниципальной </w:t>
      </w:r>
      <w:r>
        <w:rPr>
          <w:rFonts w:ascii="Times New Roman" w:hAnsi="Times New Roman"/>
          <w:sz w:val="28"/>
          <w:szCs w:val="28"/>
        </w:rPr>
        <w:t>услуги в электронной форме заявитель вправе:</w:t>
      </w:r>
    </w:p>
    <w:p w:rsidR="004420A5" w:rsidRDefault="004131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420A5" w:rsidRDefault="004131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и иные документы, </w:t>
      </w:r>
      <w:r>
        <w:rPr>
          <w:rFonts w:ascii="Times New Roman" w:hAnsi="Times New Roman"/>
          <w:sz w:val="28"/>
          <w:szCs w:val="28"/>
        </w:rPr>
        <w:t>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</w:t>
      </w:r>
      <w:r>
        <w:rPr>
          <w:rFonts w:ascii="Times New Roman" w:hAnsi="Times New Roman"/>
          <w:sz w:val="28"/>
          <w:szCs w:val="28"/>
        </w:rPr>
        <w:t>анского портала;</w:t>
      </w:r>
    </w:p>
    <w:p w:rsidR="004420A5" w:rsidRDefault="004131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420A5" w:rsidRDefault="004131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</w:t>
      </w:r>
      <w:r>
        <w:rPr>
          <w:rFonts w:ascii="Times New Roman" w:hAnsi="Times New Roman"/>
          <w:sz w:val="28"/>
          <w:szCs w:val="28"/>
        </w:rPr>
        <w:t>о портала;</w:t>
      </w:r>
    </w:p>
    <w:p w:rsidR="004420A5" w:rsidRDefault="004131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</w:t>
      </w:r>
      <w:r>
        <w:rPr>
          <w:rFonts w:ascii="Times New Roman" w:hAnsi="Times New Roman"/>
          <w:sz w:val="28"/>
          <w:szCs w:val="28"/>
        </w:rPr>
        <w:t>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</w:t>
      </w:r>
      <w:r>
        <w:rPr>
          <w:rFonts w:ascii="Times New Roman" w:hAnsi="Times New Roman"/>
          <w:sz w:val="28"/>
          <w:szCs w:val="28"/>
        </w:rPr>
        <w:t>ставляющими государственные и муниципальные услуги, их должностными лицами, государственными и муниципальными служащими.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</w:t>
      </w:r>
      <w:r>
        <w:rPr>
          <w:rFonts w:ascii="Times New Roman" w:hAnsi="Times New Roman"/>
          <w:sz w:val="28"/>
          <w:szCs w:val="28"/>
        </w:rPr>
        <w:t>е без необходимости дополнительной подачи заявления в какой-либо иной форме.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предоставляется </w:t>
      </w:r>
      <w:r>
        <w:rPr>
          <w:rFonts w:ascii="Times New Roman" w:hAnsi="Times New Roman"/>
          <w:sz w:val="28"/>
          <w:szCs w:val="28"/>
        </w:rPr>
        <w:t>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</w:t>
      </w:r>
      <w:r>
        <w:rPr>
          <w:rFonts w:ascii="Times New Roman" w:hAnsi="Times New Roman"/>
          <w:sz w:val="28"/>
          <w:szCs w:val="28"/>
        </w:rPr>
        <w:t>дством Единого портала, Республиканского портала заявителю необходимо указать запрашиваемые системой данные, в том числе: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</w:t>
      </w:r>
      <w:r>
        <w:rPr>
          <w:rFonts w:ascii="Times New Roman" w:hAnsi="Times New Roman"/>
          <w:sz w:val="28"/>
          <w:szCs w:val="28"/>
        </w:rPr>
        <w:t>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</w:t>
      </w:r>
      <w:r>
        <w:rPr>
          <w:rFonts w:ascii="Times New Roman" w:hAnsi="Times New Roman"/>
          <w:sz w:val="28"/>
          <w:szCs w:val="28"/>
        </w:rPr>
        <w:t>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</w:t>
      </w:r>
      <w:r>
        <w:rPr>
          <w:rFonts w:ascii="Times New Roman" w:hAnsi="Times New Roman"/>
          <w:sz w:val="28"/>
          <w:szCs w:val="28"/>
        </w:rPr>
        <w:t>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</w:t>
      </w:r>
      <w:r>
        <w:rPr>
          <w:rFonts w:ascii="Times New Roman" w:hAnsi="Times New Roman"/>
          <w:sz w:val="28"/>
          <w:szCs w:val="28"/>
        </w:rPr>
        <w:t>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</w:t>
      </w:r>
      <w:r>
        <w:rPr>
          <w:rFonts w:ascii="Times New Roman" w:hAnsi="Times New Roman"/>
          <w:sz w:val="28"/>
          <w:szCs w:val="28"/>
        </w:rPr>
        <w:t>ого интервала, который необходимо забронировать для приема.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4420A5" w:rsidRDefault="004420A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</w:t>
      </w:r>
      <w:r>
        <w:rPr>
          <w:rFonts w:ascii="Times New Roman" w:hAnsi="Times New Roman"/>
          <w:sz w:val="28"/>
          <w:szCs w:val="28"/>
        </w:rPr>
        <w:t>доставления муниципальной услуги, с разделением на: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которые заявитель вправе представить самостоятельно, для предоставления муниципаль</w:t>
      </w:r>
      <w:r>
        <w:rPr>
          <w:rFonts w:ascii="Times New Roman" w:hAnsi="Times New Roman"/>
          <w:sz w:val="28"/>
          <w:szCs w:val="28"/>
        </w:rPr>
        <w:t xml:space="preserve">ной услуги. 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Перечень административных </w:t>
      </w:r>
      <w:r>
        <w:rPr>
          <w:rFonts w:ascii="Times New Roman" w:hAnsi="Times New Roman"/>
          <w:sz w:val="28"/>
          <w:szCs w:val="28"/>
        </w:rPr>
        <w:t>процедур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подготовка 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4420A5" w:rsidRDefault="004420A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</w:t>
      </w:r>
      <w:r>
        <w:rPr>
          <w:rFonts w:ascii="Times New Roman" w:hAnsi="Times New Roman"/>
          <w:sz w:val="28"/>
          <w:szCs w:val="28"/>
        </w:rPr>
        <w:t>ы «Единая система межведомственного электронного взаимодействия» следующих межведомственных информационных запросов:</w:t>
      </w:r>
    </w:p>
    <w:p w:rsidR="004420A5" w:rsidRDefault="004131F1">
      <w:pPr>
        <w:pStyle w:val="aff5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</w:t>
      </w:r>
      <w:r>
        <w:rPr>
          <w:rFonts w:ascii="Times New Roman" w:hAnsi="Times New Roman"/>
          <w:sz w:val="28"/>
          <w:szCs w:val="28"/>
        </w:rPr>
        <w:t xml:space="preserve">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</w:t>
      </w:r>
      <w:r>
        <w:rPr>
          <w:rFonts w:ascii="Times New Roman" w:hAnsi="Times New Roman"/>
          <w:sz w:val="28"/>
          <w:szCs w:val="28"/>
        </w:rPr>
        <w:t>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4420A5" w:rsidRDefault="004131F1">
      <w:pPr>
        <w:pStyle w:val="aff5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</w:t>
      </w:r>
      <w:r>
        <w:rPr>
          <w:rFonts w:ascii="Times New Roman" w:hAnsi="Times New Roman"/>
          <w:sz w:val="28"/>
          <w:szCs w:val="28"/>
        </w:rPr>
        <w:t>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</w:t>
      </w:r>
      <w:r>
        <w:rPr>
          <w:rFonts w:ascii="Times New Roman" w:hAnsi="Times New Roman"/>
          <w:sz w:val="28"/>
          <w:szCs w:val="28"/>
        </w:rPr>
        <w:t>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4420A5" w:rsidRDefault="004131F1">
      <w:pPr>
        <w:pStyle w:val="aff5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</w:t>
      </w:r>
      <w:r>
        <w:rPr>
          <w:rFonts w:ascii="Times New Roman" w:hAnsi="Times New Roman"/>
          <w:sz w:val="28"/>
          <w:szCs w:val="28"/>
        </w:rPr>
        <w:t>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</w:t>
      </w:r>
      <w:r>
        <w:rPr>
          <w:rFonts w:ascii="Times New Roman" w:hAnsi="Times New Roman"/>
          <w:sz w:val="28"/>
          <w:szCs w:val="28"/>
        </w:rPr>
        <w:t>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4420A5" w:rsidRDefault="004131F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Для получения муниципальной услуги необходимо направление посредством иных сервисов </w:t>
      </w:r>
      <w:r>
        <w:rPr>
          <w:rFonts w:ascii="Times New Roman" w:hAnsi="Times New Roman"/>
          <w:sz w:val="28"/>
          <w:szCs w:val="28"/>
        </w:rPr>
        <w:t>следующих межведомственных информационных запросов: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 xml:space="preserve">диный государственный реестр записей актов </w:t>
      </w:r>
      <w:r>
        <w:rPr>
          <w:rFonts w:ascii="Times New Roman" w:hAnsi="Times New Roman" w:cs="Courier New"/>
          <w:sz w:val="28"/>
          <w:szCs w:val="20"/>
        </w:rPr>
        <w:t>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</w:t>
      </w:r>
      <w:r>
        <w:rPr>
          <w:rFonts w:ascii="Times New Roman" w:hAnsi="Times New Roman" w:cs="Courier New"/>
          <w:sz w:val="28"/>
          <w:szCs w:val="20"/>
        </w:rPr>
        <w:t>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</w:t>
      </w:r>
      <w:r>
        <w:rPr>
          <w:rFonts w:ascii="Times New Roman" w:hAnsi="Times New Roman" w:cs="Courier New"/>
          <w:sz w:val="28"/>
          <w:szCs w:val="20"/>
        </w:rPr>
        <w:t>астровой карте соответствующей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«Разрешение на строительство объекта адресации (для присвоения адреса стр</w:t>
      </w:r>
      <w:r>
        <w:rPr>
          <w:rFonts w:ascii="Times New Roman" w:hAnsi="Times New Roman"/>
          <w:sz w:val="28"/>
          <w:szCs w:val="28"/>
        </w:rPr>
        <w:t xml:space="preserve">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</w:t>
      </w:r>
      <w:r>
        <w:rPr>
          <w:rFonts w:ascii="Times New Roman" w:hAnsi="Times New Roman"/>
          <w:sz w:val="28"/>
          <w:szCs w:val="28"/>
        </w:rPr>
        <w:t>ей;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</w:t>
      </w:r>
      <w:r>
        <w:rPr>
          <w:rFonts w:ascii="Times New Roman" w:hAnsi="Times New Roman"/>
          <w:sz w:val="28"/>
          <w:szCs w:val="28"/>
        </w:rPr>
        <w:t>е 2 рабочих дней;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</w:t>
      </w:r>
      <w:r>
        <w:rPr>
          <w:rFonts w:ascii="Times New Roman" w:hAnsi="Times New Roman"/>
          <w:sz w:val="28"/>
          <w:szCs w:val="28"/>
        </w:rPr>
        <w:t xml:space="preserve">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4420A5" w:rsidRDefault="004131F1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договоре на предос</w:t>
      </w:r>
      <w:r>
        <w:rPr>
          <w:rFonts w:ascii="Times New Roman" w:hAnsi="Times New Roman"/>
          <w:sz w:val="28"/>
          <w:szCs w:val="28"/>
        </w:rPr>
        <w:t xml:space="preserve">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  <w:t>2 рабочих дней</w:t>
      </w:r>
      <w:r>
        <w:t>.</w:t>
      </w:r>
    </w:p>
    <w:p w:rsidR="004420A5" w:rsidRDefault="004420A5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</w:t>
      </w:r>
      <w:r>
        <w:rPr>
          <w:rFonts w:ascii="Times New Roman" w:hAnsi="Times New Roman" w:cs="Times New Roman"/>
          <w:b/>
          <w:sz w:val="28"/>
          <w:szCs w:val="28"/>
        </w:rPr>
        <w:t>обы информирования заявителя об изменении статуса рассмотрения запроса о предоставлении муниципальной услуги</w:t>
      </w:r>
    </w:p>
    <w:p w:rsidR="004420A5" w:rsidRDefault="004420A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При наличии технической возможности заявитель уведомляется об изменении статуса его запроса на предоставлении услуги, установленной настоящим </w:t>
      </w:r>
      <w:r>
        <w:rPr>
          <w:rFonts w:ascii="Times New Roman" w:hAnsi="Times New Roman"/>
          <w:sz w:val="28"/>
          <w:szCs w:val="28"/>
        </w:rPr>
        <w:t xml:space="preserve">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услуги, одним из перечисленных способов: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4420A5" w:rsidRDefault="004131F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4420A5" w:rsidRDefault="004420A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  <w:sectPr w:rsidR="004420A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0" w:gutter="0"/>
          <w:cols w:space="720"/>
          <w:formProt w:val="0"/>
          <w:titlePg/>
          <w:docGrid w:linePitch="360"/>
        </w:sectPr>
      </w:pPr>
    </w:p>
    <w:p w:rsidR="004420A5" w:rsidRDefault="004131F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4420A5" w:rsidRDefault="004420A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4420A5" w:rsidRDefault="004420A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4420A5" w:rsidRDefault="004131F1">
      <w:pPr>
        <w:pStyle w:val="aff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4420A5" w:rsidRDefault="004131F1">
      <w:pPr>
        <w:pStyle w:val="aff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4420A5" w:rsidRDefault="004131F1">
      <w:pPr>
        <w:pStyle w:val="aff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</w:t>
      </w:r>
      <w:r>
        <w:rPr>
          <w:rFonts w:ascii="Times New Roman" w:hAnsi="Times New Roman"/>
          <w:spacing w:val="1"/>
          <w:sz w:val="28"/>
          <w:szCs w:val="28"/>
        </w:rPr>
        <w:t>ипальных услуг» (http://frgu3.gosuslugi.ru) Реестр);</w:t>
      </w:r>
    </w:p>
    <w:p w:rsidR="004420A5" w:rsidRDefault="004131F1">
      <w:pPr>
        <w:pStyle w:val="aff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Исполнительный комитет города Буинска Буинского муниципального района Республики Татарстан - Исполком;</w:t>
      </w:r>
    </w:p>
    <w:p w:rsidR="004420A5" w:rsidRDefault="004131F1">
      <w:pPr>
        <w:pStyle w:val="aff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</w:t>
      </w:r>
      <w:r>
        <w:rPr>
          <w:rFonts w:ascii="Times New Roman" w:hAnsi="Times New Roman"/>
          <w:spacing w:val="1"/>
          <w:sz w:val="28"/>
          <w:szCs w:val="28"/>
        </w:rPr>
        <w:t>иципальных услуг Республики Татарстан» – МФЦ;</w:t>
      </w:r>
    </w:p>
    <w:p w:rsidR="004420A5" w:rsidRDefault="004131F1">
      <w:pPr>
        <w:pStyle w:val="aff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7"/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3119"/>
        <w:gridCol w:w="3757"/>
        <w:gridCol w:w="2479"/>
      </w:tblGrid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предоставления услуги</w:t>
            </w:r>
          </w:p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4420A5">
        <w:trPr>
          <w:trHeight w:val="674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Юридическое лицо,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владеющее объектом адресации на праве хозяйственного ведения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Физическое лицо, владеющее объектом адресации на праве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пожизненно наследуемого владения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4420A5">
        <w:trPr>
          <w:trHeight w:val="1286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 адресации на праве постоянного (бессрочного) пользования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9" w:type="dxa"/>
            <w:vMerge/>
          </w:tcPr>
          <w:p w:rsidR="004420A5" w:rsidRDefault="004420A5"/>
        </w:tc>
        <w:tc>
          <w:tcPr>
            <w:tcW w:w="3757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7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4420A5" w:rsidRDefault="004131F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7"/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4819"/>
        <w:gridCol w:w="2268"/>
      </w:tblGrid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4420A5">
        <w:trPr>
          <w:trHeight w:val="322"/>
        </w:trPr>
        <w:tc>
          <w:tcPr>
            <w:tcW w:w="9921" w:type="dxa"/>
            <w:gridSpan w:val="4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приложение «Госуслуги Республики Татарстан 2.0», Исполком, МФЦ</w:t>
            </w:r>
          </w:p>
        </w:tc>
      </w:tr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</w:tcPr>
          <w:p w:rsidR="004420A5" w:rsidRDefault="004131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Документ,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движимости, являющегося объектом адресации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4420A5">
        <w:trPr>
          <w:trHeight w:val="322"/>
        </w:trPr>
        <w:tc>
          <w:tcPr>
            <w:tcW w:w="9921" w:type="dxa"/>
            <w:gridSpan w:val="4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ставления Услуги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4420A5" w:rsidRDefault="004420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луги Республики Татарстан 2.0», Исполком, МФЦ</w:t>
            </w:r>
          </w:p>
        </w:tc>
      </w:tr>
    </w:tbl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4420A5" w:rsidRDefault="004131F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7"/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7088"/>
      </w:tblGrid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420A5">
        <w:trPr>
          <w:trHeight w:val="322"/>
        </w:trPr>
        <w:tc>
          <w:tcPr>
            <w:tcW w:w="9922" w:type="dxa"/>
            <w:gridSpan w:val="3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4420A5"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</w:t>
            </w:r>
            <w:r>
              <w:rPr>
                <w:rFonts w:ascii="Times New Roman" w:hAnsi="Times New Roman"/>
                <w:sz w:val="28"/>
                <w:szCs w:val="28"/>
              </w:rPr>
              <w:t>я) по собственной инициативе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420A5" w:rsidRDefault="004131F1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обязанность по представлению которых для присвоения объекту адресации адреса или аннулирования его адреса возложена </w:t>
            </w:r>
            <w:r>
              <w:rPr>
                <w:rFonts w:ascii="Times New Roman" w:hAnsi="Times New Roman"/>
                <w:sz w:val="28"/>
                <w:szCs w:val="28"/>
              </w:rPr>
              <w:t>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420A5" w:rsidRDefault="004131F1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Отсутствуют случаи и условия для присвоения объекту адресации адреса или аннулирования его адреса, указанные в пунктах 5, </w:t>
            </w:r>
            <w:r>
              <w:rPr>
                <w:rFonts w:ascii="Times New Roman" w:hAnsi="Times New Roman"/>
                <w:sz w:val="28"/>
                <w:szCs w:val="28"/>
              </w:rPr>
              <w:t>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4420A5">
        <w:trPr>
          <w:trHeight w:val="322"/>
        </w:trPr>
        <w:tc>
          <w:tcPr>
            <w:tcW w:w="9922" w:type="dxa"/>
            <w:gridSpan w:val="3"/>
          </w:tcPr>
          <w:p w:rsidR="004420A5" w:rsidRDefault="004131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Неподтверждение сведений о законных пред</w:t>
            </w:r>
            <w:r>
              <w:rPr>
                <w:rFonts w:ascii="Times New Roman" w:hAnsi="Times New Roman"/>
                <w:sz w:val="28"/>
                <w:szCs w:val="28"/>
              </w:rPr>
              <w:t>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документов, </w:t>
            </w:r>
            <w:r>
              <w:rPr>
                <w:rFonts w:ascii="Times New Roman" w:hAnsi="Times New Roman"/>
                <w:sz w:val="28"/>
                <w:szCs w:val="28"/>
              </w:rPr>
              <w:t>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Обращение за предоставлением муниципальной услуги лица, </w:t>
            </w:r>
            <w:r>
              <w:rPr>
                <w:rFonts w:ascii="Times New Roman" w:hAnsi="Times New Roman"/>
                <w:sz w:val="28"/>
                <w:szCs w:val="28"/>
              </w:rPr>
              <w:t>не являющегося получателем муниципальной услуги в соответствии с Приложением № 3 к Регламенту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</w:t>
            </w:r>
            <w:r>
              <w:rPr>
                <w:rFonts w:ascii="Times New Roman" w:hAnsi="Times New Roman"/>
                <w:sz w:val="28"/>
                <w:szCs w:val="28"/>
              </w:rPr>
              <w:t>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4420A5">
        <w:trPr>
          <w:trHeight w:val="322"/>
        </w:trPr>
        <w:tc>
          <w:tcPr>
            <w:tcW w:w="566" w:type="dxa"/>
          </w:tcPr>
          <w:p w:rsidR="004420A5" w:rsidRDefault="004131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4420A5" w:rsidRDefault="004131F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8" w:type="dxa"/>
          </w:tcPr>
          <w:p w:rsidR="004420A5" w:rsidRDefault="00413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подписи с нарушением действующего законодательства</w:t>
            </w:r>
          </w:p>
        </w:tc>
      </w:tr>
    </w:tbl>
    <w:p w:rsidR="004420A5" w:rsidRDefault="004420A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4420A5" w:rsidRDefault="004420A5">
      <w:pPr>
        <w:pStyle w:val="afb"/>
        <w:tabs>
          <w:tab w:val="left" w:pos="1377"/>
        </w:tabs>
        <w:rPr>
          <w:b w:val="0"/>
        </w:rPr>
      </w:pPr>
    </w:p>
    <w:p w:rsidR="004420A5" w:rsidRDefault="004420A5">
      <w:pPr>
        <w:pStyle w:val="afb"/>
        <w:tabs>
          <w:tab w:val="left" w:pos="1377"/>
        </w:tabs>
        <w:rPr>
          <w:b w:val="0"/>
        </w:rPr>
      </w:pPr>
    </w:p>
    <w:p w:rsidR="004420A5" w:rsidRDefault="004131F1">
      <w:pPr>
        <w:pStyle w:val="afb"/>
        <w:tabs>
          <w:tab w:val="left" w:pos="1377"/>
        </w:tabs>
      </w:pPr>
      <w:r>
        <w:t xml:space="preserve">ФОРМА </w:t>
      </w:r>
    </w:p>
    <w:p w:rsidR="004420A5" w:rsidRDefault="004131F1">
      <w:pPr>
        <w:pStyle w:val="afb"/>
        <w:tabs>
          <w:tab w:val="left" w:pos="1377"/>
        </w:tabs>
      </w:pPr>
      <w:r>
        <w:t>решения о присвоении или аннулировании адреса объекту адресации</w:t>
      </w:r>
    </w:p>
    <w:p w:rsidR="004420A5" w:rsidRDefault="004420A5">
      <w:pPr>
        <w:pStyle w:val="afb"/>
        <w:jc w:val="left"/>
        <w:rPr>
          <w:b w:val="0"/>
        </w:rPr>
      </w:pPr>
    </w:p>
    <w:p w:rsidR="004420A5" w:rsidRDefault="00442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4420A5" w:rsidRDefault="00413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</w:t>
      </w:r>
      <w:r>
        <w:rPr>
          <w:rFonts w:ascii="Times New Roman" w:hAnsi="Times New Roman"/>
          <w:sz w:val="24"/>
          <w:szCs w:val="24"/>
        </w:rPr>
        <w:t>ие присвоения/аннулирования адреса)</w:t>
      </w:r>
    </w:p>
    <w:p w:rsidR="004420A5" w:rsidRDefault="00442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pStyle w:val="aff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41mghml"/>
      <w:bookmarkStart w:id="2" w:name="bookmark=id.4f1mdlm"/>
      <w:bookmarkStart w:id="3" w:name="bookmark=id.2grqrue"/>
      <w:bookmarkStart w:id="4" w:name="bookmark=id.2u6wntf"/>
      <w:bookmarkStart w:id="5" w:name="bookmark=id.vx1227"/>
      <w:bookmarkStart w:id="6" w:name="bookmark=id.1v1yuxt"/>
      <w:bookmarkStart w:id="7" w:name="bookmark=id.3fwokq0"/>
      <w:bookmarkStart w:id="8" w:name="bookmark=id.19c6y18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nmf14n"/>
      <w:bookmarkStart w:id="10" w:name="bookmark=id.3tbugp1"/>
      <w:bookmarkStart w:id="11" w:name="bookmark=id.46r0co2"/>
      <w:bookmarkStart w:id="12" w:name="bookmark=id.1mrcu09"/>
      <w:bookmarkStart w:id="13" w:name="bookmark=id.37m2jsg"/>
      <w:bookmarkStart w:id="14" w:name="bookmark=id.28h4qwu"/>
      <w:bookmarkEnd w:id="9"/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4k668n3"/>
      <w:bookmarkStart w:id="16" w:name="bookmark=id.3l18frh"/>
      <w:bookmarkStart w:id="17" w:name="bookmark=id.2dlolyb"/>
      <w:bookmarkStart w:id="18" w:name="bookmark=id.1egqt2p"/>
      <w:bookmarkStart w:id="19" w:name="bookmark=id.sqyw64"/>
      <w:bookmarkStart w:id="20" w:name="bookmark=id.2lwamvv"/>
      <w:bookmarkStart w:id="21" w:name="bookmark=id.206ipza"/>
      <w:bookmarkStart w:id="22" w:name="bookmark=id.2zbgiuw"/>
      <w:bookmarkStart w:id="23" w:name="bookmark=id.111kx3o"/>
      <w:bookmarkStart w:id="24" w:name="bookmark=id.3ygebqi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420A5" w:rsidRDefault="004131F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объекта, кадастровые номера, адреса и сведения об объектах недвижимости, из которых образуется </w:t>
      </w:r>
      <w:r>
        <w:rPr>
          <w:rFonts w:ascii="Times New Roman" w:hAnsi="Times New Roman"/>
          <w:sz w:val="24"/>
          <w:szCs w:val="24"/>
        </w:rPr>
        <w:t>объект адресации;</w:t>
      </w:r>
    </w:p>
    <w:p w:rsidR="004420A5" w:rsidRDefault="004131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4420A5" w:rsidRDefault="00413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:rsidR="004420A5" w:rsidRDefault="00413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4420A5" w:rsidRDefault="00413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4420A5" w:rsidRDefault="004420A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4bvk7pj"/>
      <w:bookmarkStart w:id="26" w:name="bookmark=id.1rvwp1q"/>
      <w:bookmarkStart w:id="27" w:name="bookmark=id.2r0uhxc"/>
      <w:bookmarkStart w:id="28" w:name="bookmark=id.3cqmetx"/>
      <w:bookmarkEnd w:id="25"/>
      <w:bookmarkEnd w:id="26"/>
      <w:bookmarkEnd w:id="27"/>
      <w:bookmarkEnd w:id="28"/>
    </w:p>
    <w:p w:rsidR="004420A5" w:rsidRDefault="00413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4420A5" w:rsidRDefault="00442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</w:t>
      </w:r>
      <w:r>
        <w:rPr>
          <w:rFonts w:ascii="Times New Roman" w:hAnsi="Times New Roman"/>
          <w:color w:val="000000"/>
          <w:sz w:val="28"/>
          <w:szCs w:val="28"/>
        </w:rPr>
        <w:t>ием настоящего распоряжения оставляю за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4420A5" w:rsidRDefault="004420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20A5" w:rsidRDefault="004131F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4420A5" w:rsidRDefault="00442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0A5" w:rsidRDefault="004131F1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3hv69ve"/>
      <w:bookmarkStart w:id="31" w:name="bookmark=id.25b2l0r"/>
      <w:bookmarkStart w:id="32" w:name="bookmark=id.3q5sasy"/>
      <w:bookmarkStart w:id="33" w:name="bookmark=id.43ky6rz"/>
      <w:bookmarkStart w:id="34" w:name="bookmark=id.34g0dwd"/>
      <w:bookmarkStart w:id="35" w:name="bookmark=id.2iq8gzs"/>
      <w:bookmarkStart w:id="36" w:name="bookmark=id.xvir7l"/>
      <w:bookmarkStart w:id="37" w:name="bookmark=id.kgcv8k"/>
      <w:bookmarkStart w:id="38" w:name="bookmark=id.1jlao46"/>
      <w:bookmarkStart w:id="39" w:name="bookmark=id.1x0gk37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Times New Roman" w:hAnsi="Times New Roman"/>
          <w:sz w:val="28"/>
          <w:szCs w:val="28"/>
        </w:rPr>
        <w:t>Руководитель</w:t>
      </w:r>
    </w:p>
    <w:p w:rsidR="004420A5" w:rsidRDefault="00413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_____________</w:t>
      </w:r>
    </w:p>
    <w:p w:rsidR="004420A5" w:rsidRDefault="00413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4420A5" w:rsidRDefault="004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4420A5" w:rsidRDefault="004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6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  <w:r>
        <w:rPr>
          <w:rFonts w:ascii="Times New Roman" w:hAnsi="Times New Roman"/>
          <w:b/>
          <w:bCs/>
          <w:sz w:val="24"/>
          <w:szCs w:val="24"/>
        </w:rPr>
        <w:t>решения об отказе в присвоении объекту адресации адреса</w:t>
      </w:r>
      <w:r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:rsidR="004420A5" w:rsidRDefault="004420A5">
      <w:pPr>
        <w:spacing w:after="0" w:line="228" w:lineRule="auto"/>
        <w:ind w:left="4962"/>
        <w:rPr>
          <w:rFonts w:ascii="Times New Roman" w:hAnsi="Times New Roman"/>
          <w:sz w:val="24"/>
          <w:szCs w:val="24"/>
        </w:rPr>
      </w:pPr>
    </w:p>
    <w:p w:rsidR="004420A5" w:rsidRDefault="004420A5">
      <w:pPr>
        <w:pBdr>
          <w:top w:val="single" w:sz="4" w:space="1" w:color="000000"/>
        </w:pBdr>
        <w:spacing w:after="0" w:line="228" w:lineRule="auto"/>
        <w:ind w:left="4962"/>
        <w:rPr>
          <w:rFonts w:ascii="Times New Roman" w:hAnsi="Times New Roman"/>
          <w:sz w:val="2"/>
          <w:szCs w:val="2"/>
        </w:rPr>
      </w:pPr>
    </w:p>
    <w:p w:rsidR="004420A5" w:rsidRDefault="004420A5">
      <w:pPr>
        <w:spacing w:after="0" w:line="228" w:lineRule="auto"/>
        <w:ind w:left="4962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4420A5" w:rsidRDefault="004420A5">
      <w:pPr>
        <w:spacing w:after="0" w:line="228" w:lineRule="auto"/>
        <w:ind w:left="4962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4420A5" w:rsidRDefault="004131F1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41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"/>
        <w:gridCol w:w="1589"/>
        <w:gridCol w:w="1133"/>
        <w:gridCol w:w="1134"/>
      </w:tblGrid>
      <w:tr w:rsidR="004420A5">
        <w:trPr>
          <w:jc w:val="center"/>
        </w:trPr>
        <w:tc>
          <w:tcPr>
            <w:tcW w:w="339" w:type="dxa"/>
            <w:vAlign w:val="bottom"/>
          </w:tcPr>
          <w:p w:rsidR="004420A5" w:rsidRDefault="004131F1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  <w:vAlign w:val="bottom"/>
          </w:tcPr>
          <w:p w:rsidR="004420A5" w:rsidRDefault="004420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:rsidR="004420A5" w:rsidRDefault="004131F1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4420A5" w:rsidRDefault="004420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420A5">
      <w:pPr>
        <w:pBdr>
          <w:top w:val="single" w:sz="4" w:space="1" w:color="000000"/>
        </w:pBdr>
        <w:spacing w:after="0" w:line="228" w:lineRule="auto"/>
        <w:rPr>
          <w:rFonts w:ascii="Times New Roman" w:hAnsi="Times New Roman"/>
          <w:sz w:val="2"/>
          <w:szCs w:val="2"/>
        </w:rPr>
      </w:pPr>
    </w:p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4420A5" w:rsidRDefault="004131F1">
      <w:pPr>
        <w:tabs>
          <w:tab w:val="right" w:pos="9923"/>
        </w:tabs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что  </w:t>
      </w:r>
      <w:r>
        <w:rPr>
          <w:rFonts w:ascii="Times New Roman" w:hAnsi="Times New Roman"/>
          <w:sz w:val="24"/>
          <w:szCs w:val="24"/>
        </w:rPr>
        <w:tab/>
        <w:t>,</w:t>
      </w:r>
    </w:p>
    <w:p w:rsidR="004420A5" w:rsidRDefault="004131F1">
      <w:pPr>
        <w:pBdr>
          <w:top w:val="single" w:sz="4" w:space="1" w:color="000000"/>
        </w:pBdr>
        <w:spacing w:after="0" w:line="228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российского юридического лица), страна, дата и номер </w:t>
      </w:r>
      <w:r>
        <w:rPr>
          <w:rFonts w:ascii="Times New Roman" w:hAnsi="Times New Roman"/>
          <w:sz w:val="20"/>
          <w:szCs w:val="20"/>
        </w:rPr>
        <w:t>регистрации (для иностранного юридического лица),</w:t>
      </w:r>
    </w:p>
    <w:p w:rsidR="004420A5" w:rsidRDefault="004131F1">
      <w:pPr>
        <w:tabs>
          <w:tab w:val="right" w:pos="9921"/>
        </w:tabs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4420A5" w:rsidRDefault="004131F1">
      <w:pPr>
        <w:pBdr>
          <w:top w:val="single" w:sz="4" w:space="1" w:color="000000"/>
        </w:pBdr>
        <w:spacing w:after="0" w:line="228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4420A5" w:rsidRDefault="004131F1">
      <w:pPr>
        <w:spacing w:after="0" w:line="228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</w:t>
      </w:r>
      <w:r>
        <w:rPr>
          <w:rFonts w:ascii="Times New Roman" w:hAnsi="Times New Roman"/>
          <w:sz w:val="24"/>
          <w:szCs w:val="24"/>
        </w:rPr>
        <w:t>зано в присвоении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:rsidR="004420A5" w:rsidRDefault="004131F1">
      <w:pPr>
        <w:spacing w:after="0" w:line="228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:rsidR="004420A5" w:rsidRDefault="004131F1">
      <w:pPr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4420A5" w:rsidRDefault="004131F1">
      <w:pPr>
        <w:pBdr>
          <w:top w:val="single" w:sz="4" w:space="1" w:color="000000"/>
        </w:pBdr>
        <w:spacing w:after="0" w:line="228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131F1">
      <w:pPr>
        <w:pBdr>
          <w:top w:val="single" w:sz="4" w:space="1" w:color="000000"/>
        </w:pBdr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адрес </w:t>
      </w:r>
      <w:r>
        <w:rPr>
          <w:rFonts w:ascii="Times New Roman" w:hAnsi="Times New Roman"/>
          <w:sz w:val="20"/>
          <w:szCs w:val="20"/>
        </w:rPr>
        <w:t>объекта адресации в случае обращения заявителя об аннулировании его адреса)</w:t>
      </w:r>
    </w:p>
    <w:p w:rsidR="004420A5" w:rsidRDefault="004420A5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4420A5" w:rsidRDefault="004420A5">
      <w:pPr>
        <w:pBdr>
          <w:top w:val="single" w:sz="4" w:space="1" w:color="000000"/>
        </w:pBdr>
        <w:spacing w:after="0" w:line="228" w:lineRule="auto"/>
        <w:rPr>
          <w:rFonts w:ascii="Times New Roman" w:hAnsi="Times New Roman"/>
          <w:sz w:val="2"/>
          <w:szCs w:val="2"/>
        </w:rPr>
      </w:pPr>
    </w:p>
    <w:p w:rsidR="004420A5" w:rsidRDefault="004131F1">
      <w:pPr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:rsidR="004420A5" w:rsidRDefault="004420A5">
      <w:pPr>
        <w:pBdr>
          <w:top w:val="single" w:sz="4" w:space="1" w:color="000000"/>
        </w:pBdr>
        <w:spacing w:after="0" w:line="228" w:lineRule="auto"/>
        <w:ind w:left="1007"/>
        <w:rPr>
          <w:rFonts w:ascii="Times New Roman" w:hAnsi="Times New Roman"/>
          <w:sz w:val="2"/>
          <w:szCs w:val="2"/>
        </w:rPr>
      </w:pPr>
    </w:p>
    <w:p w:rsidR="004420A5" w:rsidRDefault="004131F1">
      <w:pPr>
        <w:tabs>
          <w:tab w:val="right" w:pos="9921"/>
        </w:tabs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4420A5" w:rsidRDefault="004131F1">
      <w:pPr>
        <w:pBdr>
          <w:top w:val="single" w:sz="4" w:space="1" w:color="000000"/>
        </w:pBdr>
        <w:spacing w:after="0" w:line="228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:rsidR="004420A5" w:rsidRDefault="004131F1">
      <w:pPr>
        <w:spacing w:before="120" w:after="0" w:line="228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4420A5" w:rsidRDefault="004420A5">
      <w:pPr>
        <w:spacing w:before="120" w:after="0" w:line="228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7"/>
        <w:gridCol w:w="2269"/>
      </w:tblGrid>
      <w:tr w:rsidR="004420A5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4420A5" w:rsidRDefault="004420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:rsidR="004420A5" w:rsidRDefault="004420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4420A5" w:rsidRDefault="004420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0A5">
        <w:tc>
          <w:tcPr>
            <w:tcW w:w="5954" w:type="dxa"/>
          </w:tcPr>
          <w:p w:rsidR="004420A5" w:rsidRDefault="0041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7" w:type="dxa"/>
          </w:tcPr>
          <w:p w:rsidR="004420A5" w:rsidRDefault="004420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4420A5" w:rsidRDefault="0041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4420A5" w:rsidRDefault="00413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4420A5" w:rsidRDefault="004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4420A5" w:rsidRDefault="004420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0A5" w:rsidRDefault="004131F1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:rsidR="004420A5" w:rsidRDefault="004131F1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присвоении объекту </w:t>
      </w:r>
      <w:r>
        <w:rPr>
          <w:rFonts w:ascii="Times New Roman" w:hAnsi="Times New Roman"/>
          <w:b/>
          <w:sz w:val="24"/>
          <w:szCs w:val="24"/>
        </w:rPr>
        <w:t>адресации адреса или аннулировании его адреса</w:t>
      </w:r>
    </w:p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8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38"/>
        <w:gridCol w:w="2503"/>
        <w:gridCol w:w="419"/>
        <w:gridCol w:w="1330"/>
        <w:gridCol w:w="532"/>
        <w:gridCol w:w="1370"/>
        <w:gridCol w:w="346"/>
        <w:gridCol w:w="435"/>
        <w:gridCol w:w="550"/>
        <w:gridCol w:w="1417"/>
      </w:tblGrid>
      <w:tr w:rsidR="004420A5">
        <w:tc>
          <w:tcPr>
            <w:tcW w:w="7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988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копий ____, количество листов в оригиналах ____, копиях ____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4420A5">
        <w:trPr>
          <w:trHeight w:val="537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4420A5" w:rsidRDefault="004420A5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4420A5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4420A5">
        <w:trPr>
          <w:trHeight w:val="29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земельного участка(ов) путем раздела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4420A5">
        <w:trPr>
          <w:trHeight w:val="29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земельного участка путем объединения земельных </w:t>
            </w:r>
            <w:r>
              <w:rPr>
                <w:rFonts w:ascii="Times New Roman" w:hAnsi="Times New Roman"/>
                <w:sz w:val="24"/>
                <w:szCs w:val="24"/>
              </w:rPr>
              <w:t>участков</w:t>
            </w: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gtFrame="#P607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gtFrame="#P607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4420A5">
        <w:trPr>
          <w:trHeight w:val="29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3"/>
        <w:gridCol w:w="1331"/>
        <w:gridCol w:w="1418"/>
      </w:tblGrid>
      <w:tr w:rsidR="004420A5">
        <w:tc>
          <w:tcPr>
            <w:tcW w:w="7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9932" w:type="dxa"/>
            <w:gridSpan w:val="6"/>
            <w:tcBorders>
              <w:top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из </w:t>
            </w:r>
            <w:r>
              <w:rPr>
                <w:rFonts w:ascii="Times New Roman" w:hAnsi="Times New Roman"/>
                <w:sz w:val="24"/>
                <w:szCs w:val="24"/>
              </w:rPr>
              <w:t>которого осуществляется выдел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4420A5">
        <w:trPr>
          <w:trHeight w:val="293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земельных участков, </w:t>
            </w:r>
            <w:r>
              <w:rPr>
                <w:rFonts w:ascii="Times New Roman" w:hAnsi="Times New Roman"/>
                <w:sz w:val="24"/>
                <w:szCs w:val="24"/>
              </w:rPr>
              <w:t>которые перераспределяются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gtFrame="#P608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gtFrame="#P608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4420A5">
        <w:trPr>
          <w:trHeight w:val="293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420A5">
        <w:trPr>
          <w:trHeight w:val="293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1" w:tgtFrame="consultantplus://offline/ref=7453E47DFE2D8D8B400094539540440452E119A2A96C12CC1E13E7EA76F620AE0092A34721C0541397382A4717v3h9N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</w:t>
            </w:r>
            <w:r>
              <w:rPr>
                <w:rFonts w:ascii="Times New Roman" w:hAnsi="Times New Roman"/>
                <w:sz w:val="24"/>
                <w:szCs w:val="24"/>
              </w:rPr>
              <w:t>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объекта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</w:t>
            </w:r>
            <w:r>
              <w:rPr>
                <w:rFonts w:ascii="Times New Roman" w:hAnsi="Times New Roman"/>
                <w:sz w:val="24"/>
                <w:szCs w:val="24"/>
              </w:rPr>
              <w:t>троительство (реконструкция)</w:t>
            </w:r>
          </w:p>
        </w:tc>
      </w:tr>
      <w:tr w:rsidR="004420A5">
        <w:trPr>
          <w:trHeight w:val="293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5"/>
        <w:gridCol w:w="445"/>
        <w:gridCol w:w="2208"/>
        <w:gridCol w:w="615"/>
        <w:gridCol w:w="342"/>
        <w:gridCol w:w="654"/>
        <w:gridCol w:w="371"/>
        <w:gridCol w:w="1057"/>
        <w:gridCol w:w="338"/>
        <w:gridCol w:w="993"/>
        <w:gridCol w:w="551"/>
        <w:gridCol w:w="1368"/>
      </w:tblGrid>
      <w:tr w:rsidR="004420A5">
        <w:tc>
          <w:tcPr>
            <w:tcW w:w="66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9917" w:type="dxa"/>
            <w:gridSpan w:val="13"/>
            <w:tcBorders>
              <w:top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помещения(ий) в здании </w:t>
            </w:r>
            <w:r>
              <w:rPr>
                <w:rFonts w:ascii="Times New Roman" w:hAnsi="Times New Roman"/>
                <w:sz w:val="24"/>
                <w:szCs w:val="24"/>
              </w:rPr>
              <w:t>(строении), сооружении путем раздела здания (строения), сооружения</w:t>
            </w: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здания, </w:t>
            </w:r>
            <w:r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gtFrame="#P609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gtFrame="#P609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gtFrame="#P609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машино-места, раздел которого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осуществляется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gtFrame="#P610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gtFrame="#P610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здания, сооружения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помещения, машино-места раздел которого осуществляется</w:t>
            </w: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r>
              <w:rPr>
                <w:rFonts w:ascii="Times New Roman" w:hAnsi="Times New Roman"/>
                <w:sz w:val="24"/>
                <w:szCs w:val="24"/>
              </w:rPr>
              <w:t>машино-мест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gtFrame="#P610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gtFrame="#P610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машино-места в здании,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сооружении путем переустройства и (или) перепланировки мест общего пользования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2" w:tgtFrame="consultantplus://offline/ref=7453E47DFE2D8D8B400094539540440452E11BA9AA6312CC1E13E7EA76F620AE0092A34721C0541397382A4717v3h9N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3" w:tgtFrame="consultantplus://offline/ref=7453E47DFE2D8D8B400094539540440452E11BA9AA6312CC1E13E7EA76F620AE0092A34721C0541397382A4717v3h9N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8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3"/>
        <w:gridCol w:w="4127"/>
        <w:gridCol w:w="2092"/>
        <w:gridCol w:w="1331"/>
        <w:gridCol w:w="1361"/>
      </w:tblGrid>
      <w:tr w:rsidR="004420A5">
        <w:tc>
          <w:tcPr>
            <w:tcW w:w="7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718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района, городского,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элемента </w:t>
            </w:r>
            <w:r>
              <w:rPr>
                <w:rFonts w:ascii="Times New Roman" w:hAnsi="Times New Roman"/>
                <w:sz w:val="24"/>
                <w:szCs w:val="24"/>
              </w:rPr>
              <w:t>планировочной структуры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и номер </w:t>
            </w:r>
            <w:r>
              <w:rPr>
                <w:rFonts w:ascii="Times New Roman" w:hAnsi="Times New Roman"/>
                <w:sz w:val="24"/>
                <w:szCs w:val="24"/>
              </w:rPr>
              <w:t>помещения в пределах квартиры (в отношении коммунальных квартир)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4420A5">
        <w:trPr>
          <w:trHeight w:val="29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</w:t>
            </w:r>
            <w:r>
              <w:rPr>
                <w:rFonts w:ascii="Times New Roman" w:hAnsi="Times New Roman"/>
                <w:sz w:val="24"/>
                <w:szCs w:val="24"/>
              </w:rPr>
              <w:t>объектом адресации</w:t>
            </w: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4" w:tgtFrame="consultantplus://offline/ref=7453E47DFE2D8D8B400094539540440452E11BA9AA6312CC1E13E7EA76F620AE1292FB4B21C343109A2D7C16516D78C366BCDFE7F2D82FE5v8h1N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</w:t>
            </w:r>
            <w:r>
              <w:rPr>
                <w:rFonts w:ascii="Times New Roman" w:hAnsi="Times New Roman"/>
                <w:sz w:val="24"/>
                <w:szCs w:val="24"/>
              </w:rPr>
              <w:t>кте недвижимости, являющемся объектом адресации</w:t>
            </w: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4420A5">
        <w:trPr>
          <w:trHeight w:val="29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7"/>
        <w:gridCol w:w="422"/>
        <w:gridCol w:w="418"/>
        <w:gridCol w:w="777"/>
        <w:gridCol w:w="1268"/>
        <w:gridCol w:w="150"/>
        <w:gridCol w:w="549"/>
        <w:gridCol w:w="356"/>
        <w:gridCol w:w="1011"/>
        <w:gridCol w:w="359"/>
        <w:gridCol w:w="469"/>
        <w:gridCol w:w="862"/>
        <w:gridCol w:w="551"/>
        <w:gridCol w:w="1720"/>
      </w:tblGrid>
      <w:tr w:rsidR="004420A5">
        <w:tc>
          <w:tcPr>
            <w:tcW w:w="6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9917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</w:t>
            </w:r>
            <w:r>
              <w:rPr>
                <w:rFonts w:ascii="Times New Roman" w:hAnsi="Times New Roman"/>
                <w:sz w:val="24"/>
                <w:szCs w:val="24"/>
              </w:rPr>
              <w:t>адресации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(для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российского юридического лица):</w:t>
            </w:r>
          </w:p>
        </w:tc>
        <w:tc>
          <w:tcPr>
            <w:tcW w:w="4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регистрации (для иностранного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хозяйственного ведения имуществом </w:t>
            </w:r>
            <w:r>
              <w:rPr>
                <w:rFonts w:ascii="Times New Roman" w:hAnsi="Times New Roman"/>
                <w:sz w:val="24"/>
                <w:szCs w:val="24"/>
              </w:rPr>
              <w:t>на объект адресации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4420A5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получения документов (в том </w:t>
            </w:r>
            <w:r>
              <w:rPr>
                <w:rFonts w:ascii="Times New Roman" w:hAnsi="Times New Roman"/>
                <w:sz w:val="24"/>
                <w:szCs w:val="24"/>
              </w:rPr>
              <w:t>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Почтовым </w:t>
            </w:r>
            <w:r>
              <w:rPr>
                <w:rFonts w:ascii="Times New Roman" w:hAnsi="Times New Roman"/>
                <w:sz w:val="24"/>
                <w:szCs w:val="24"/>
              </w:rPr>
              <w:t>отправлением по адресу:</w:t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адрес электронной </w:t>
            </w:r>
            <w:r>
              <w:rPr>
                <w:rFonts w:ascii="Times New Roman" w:hAnsi="Times New Roman"/>
                <w:sz w:val="24"/>
                <w:szCs w:val="24"/>
              </w:rPr>
              <w:t>почты (для сообщения о получении заявления и документов)</w:t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4420A5" w:rsidRDefault="004131F1">
            <w:pPr>
              <w:widowControl w:val="0"/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4420A5">
        <w:trPr>
          <w:trHeight w:val="2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направлять</w:t>
            </w: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432"/>
        <w:gridCol w:w="405"/>
        <w:gridCol w:w="2520"/>
        <w:gridCol w:w="165"/>
        <w:gridCol w:w="849"/>
        <w:gridCol w:w="449"/>
        <w:gridCol w:w="571"/>
        <w:gridCol w:w="388"/>
        <w:gridCol w:w="447"/>
        <w:gridCol w:w="884"/>
        <w:gridCol w:w="511"/>
        <w:gridCol w:w="1760"/>
      </w:tblGrid>
      <w:tr w:rsidR="004420A5">
        <w:tc>
          <w:tcPr>
            <w:tcW w:w="6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9917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</w:t>
            </w:r>
            <w:r>
              <w:rPr>
                <w:rFonts w:ascii="Times New Roman" w:hAnsi="Times New Roman"/>
                <w:sz w:val="24"/>
                <w:szCs w:val="24"/>
              </w:rPr>
              <w:t>адресации</w:t>
            </w: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юридическое лицо, в том числе орган государственной власти, иной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орган, орган местного самоуправления:</w:t>
            </w: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420A5">
        <w:trPr>
          <w:trHeight w:val="29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и реквизиты документа, подтверждающего полномочия представителя: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 экз., на ___ 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4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4420A5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359"/>
        <w:gridCol w:w="3389"/>
        <w:gridCol w:w="1362"/>
        <w:gridCol w:w="2271"/>
      </w:tblGrid>
      <w:tr w:rsidR="004420A5">
        <w:tc>
          <w:tcPr>
            <w:tcW w:w="6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420A5">
        <w:tc>
          <w:tcPr>
            <w:tcW w:w="628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 свое согласие, а также согласие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      </w:r>
            <w:r>
              <w:rPr>
                <w:rFonts w:ascii="Times New Roman" w:hAnsi="Times New Roman"/>
                <w:sz w:val="24"/>
                <w:szCs w:val="24"/>
              </w:rPr>
              <w:t>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</w:t>
            </w:r>
            <w:r>
              <w:rPr>
                <w:rFonts w:ascii="Times New Roman" w:hAnsi="Times New Roman"/>
                <w:sz w:val="24"/>
                <w:szCs w:val="24"/>
              </w:rPr>
              <w:t>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4420A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</w:t>
            </w:r>
            <w:r>
              <w:rPr>
                <w:rFonts w:ascii="Times New Roman" w:hAnsi="Times New Roman"/>
                <w:sz w:val="24"/>
                <w:szCs w:val="24"/>
              </w:rPr>
              <w:t>едставления заявления достоверны;</w:t>
            </w:r>
          </w:p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4420A5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A5" w:rsidRDefault="004131F1">
            <w:pPr>
              <w:widowControl w:val="0"/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4420A5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420A5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420A5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p w:rsidR="004420A5" w:rsidRDefault="004131F1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4420A5" w:rsidRDefault="004131F1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>
        <w:rPr>
          <w:rFonts w:ascii="Times New Roman" w:hAnsi="Times New Roman"/>
          <w:sz w:val="24"/>
          <w:szCs w:val="24"/>
        </w:rPr>
        <w:t xml:space="preserve">&lt;1&gt; Строка дублируется для каждого объединенного </w:t>
      </w:r>
      <w:r>
        <w:rPr>
          <w:rFonts w:ascii="Times New Roman" w:hAnsi="Times New Roman"/>
          <w:sz w:val="24"/>
          <w:szCs w:val="24"/>
        </w:rPr>
        <w:t>земельного участка.</w:t>
      </w:r>
    </w:p>
    <w:p w:rsidR="004420A5" w:rsidRDefault="004131F1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4420A5" w:rsidRDefault="004131F1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4420A5" w:rsidRDefault="004131F1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4420A5" w:rsidRDefault="004420A5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4420A5" w:rsidRDefault="004131F1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:rsidR="004420A5" w:rsidRDefault="004131F1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</w:t>
      </w:r>
      <w:r>
        <w:rPr>
          <w:rFonts w:ascii="Times New Roman" w:hAnsi="Times New Roman"/>
          <w:sz w:val="24"/>
          <w:szCs w:val="24"/>
        </w:rPr>
        <w:t>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</w:t>
      </w:r>
      <w:r>
        <w:rPr>
          <w:rFonts w:ascii="Times New Roman" w:hAnsi="Times New Roman"/>
          <w:sz w:val="24"/>
          <w:szCs w:val="24"/>
        </w:rPr>
        <w:t>рабскими цифрами. На каждом листе также указывается общее количество листов, содержащихся в заявлении.</w:t>
      </w:r>
    </w:p>
    <w:p w:rsidR="004420A5" w:rsidRDefault="004131F1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>
        <w:rPr>
          <w:rFonts w:ascii="Times New Roman" w:hAnsi="Times New Roman"/>
          <w:sz w:val="24"/>
          <w:szCs w:val="24"/>
        </w:rPr>
        <w:t>"V"</w:t>
      </w:r>
    </w:p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6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4420A5">
        <w:tc>
          <w:tcPr>
            <w:tcW w:w="564" w:type="dxa"/>
            <w:tcBorders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</w:tcPr>
          <w:p w:rsidR="004420A5" w:rsidRDefault="004131F1">
            <w:pPr>
              <w:widowControl w:val="0"/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p w:rsidR="004420A5" w:rsidRDefault="004131F1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</w:t>
      </w:r>
      <w:r>
        <w:rPr>
          <w:rFonts w:ascii="Times New Roman" w:hAnsi="Times New Roman"/>
          <w:sz w:val="24"/>
          <w:szCs w:val="24"/>
        </w:rPr>
        <w:t>заявлению. В этом случае строки, не подлежащие заполнению, из формы заявления исключаются.</w:t>
      </w:r>
    </w:p>
    <w:p w:rsidR="004420A5" w:rsidRDefault="004420A5">
      <w:pPr>
        <w:spacing w:after="1" w:line="280" w:lineRule="atLeast"/>
        <w:jc w:val="both"/>
        <w:rPr>
          <w:sz w:val="24"/>
          <w:szCs w:val="24"/>
        </w:rPr>
      </w:pPr>
    </w:p>
    <w:p w:rsidR="004420A5" w:rsidRDefault="004420A5">
      <w:pPr>
        <w:spacing w:after="1" w:line="280" w:lineRule="atLeast"/>
        <w:jc w:val="both"/>
      </w:pPr>
    </w:p>
    <w:p w:rsidR="004420A5" w:rsidRDefault="004420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4420A5" w:rsidRDefault="004131F1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 по присвоению, изменению и аннулированию адресов</w:t>
      </w: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420A5" w:rsidRDefault="004420A5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4420A5" w:rsidRDefault="004131F1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4420A5" w:rsidRDefault="004420A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4420A5" w:rsidRDefault="004131F1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420A5" w:rsidRDefault="004420A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4420A5" w:rsidRDefault="004131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4420A5" w:rsidRDefault="004420A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4420A5" w:rsidRDefault="004420A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20A5" w:rsidRDefault="004131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4420A5" w:rsidRDefault="004420A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4420A5" w:rsidRDefault="004131F1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4420A5" w:rsidRDefault="004131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420A5" w:rsidRDefault="004420A5">
      <w:pPr>
        <w:ind w:right="-1"/>
      </w:pPr>
    </w:p>
    <w:p w:rsidR="004420A5" w:rsidRDefault="004420A5">
      <w:pPr>
        <w:ind w:right="-1"/>
      </w:pPr>
    </w:p>
    <w:p w:rsidR="004420A5" w:rsidRDefault="004131F1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4420A5" w:rsidRDefault="004131F1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>
        <w:rPr>
          <w:rFonts w:ascii="Times New Roman" w:hAnsi="Times New Roman"/>
          <w:sz w:val="20"/>
          <w:szCs w:val="20"/>
        </w:rPr>
        <w:t>______________________________</w:t>
      </w:r>
    </w:p>
    <w:p w:rsidR="004420A5" w:rsidRDefault="004131F1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(контакты </w:t>
      </w:r>
      <w:r>
        <w:rPr>
          <w:rFonts w:ascii="Times New Roman" w:hAnsi="Times New Roman"/>
          <w:sz w:val="20"/>
          <w:szCs w:val="20"/>
        </w:rPr>
        <w:t>исполнителя)</w:t>
      </w:r>
    </w:p>
    <w:p w:rsidR="004420A5" w:rsidRDefault="004420A5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sectPr w:rsidR="004420A5">
      <w:headerReference w:type="default" r:id="rId15"/>
      <w:headerReference w:type="first" r:id="rId16"/>
      <w:pgSz w:w="11906" w:h="16838"/>
      <w:pgMar w:top="1134" w:right="851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F1" w:rsidRDefault="004131F1">
      <w:pPr>
        <w:spacing w:after="0" w:line="240" w:lineRule="auto"/>
      </w:pPr>
      <w:r>
        <w:separator/>
      </w:r>
    </w:p>
  </w:endnote>
  <w:endnote w:type="continuationSeparator" w:id="0">
    <w:p w:rsidR="004131F1" w:rsidRDefault="0041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F1" w:rsidRDefault="004131F1">
      <w:pPr>
        <w:spacing w:after="0" w:line="240" w:lineRule="auto"/>
      </w:pPr>
      <w:r>
        <w:separator/>
      </w:r>
    </w:p>
  </w:footnote>
  <w:footnote w:type="continuationSeparator" w:id="0">
    <w:p w:rsidR="004131F1" w:rsidRDefault="0041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A5" w:rsidRDefault="004131F1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420A5" w:rsidRDefault="004131F1">
                          <w:pPr>
                            <w:pStyle w:val="ac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5256131"/>
      <w:docPartObj>
        <w:docPartGallery w:val="Page Numbers (Top of Page)"/>
        <w:docPartUnique/>
      </w:docPartObj>
    </w:sdtPr>
    <w:sdtEndPr/>
    <w:sdtContent>
      <w:p w:rsidR="004420A5" w:rsidRDefault="004131F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416345"/>
      <w:docPartObj>
        <w:docPartGallery w:val="Page Numbers (Top of Page)"/>
        <w:docPartUnique/>
      </w:docPartObj>
    </w:sdtPr>
    <w:sdtEndPr/>
    <w:sdtContent>
      <w:p w:rsidR="004420A5" w:rsidRDefault="004131F1">
        <w:pPr>
          <w:pStyle w:val="ac"/>
          <w:jc w:val="center"/>
        </w:pPr>
      </w:p>
    </w:sdtContent>
  </w:sdt>
  <w:p w:rsidR="004420A5" w:rsidRDefault="004420A5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38017"/>
      <w:docPartObj>
        <w:docPartGallery w:val="Page Numbers (Top of Page)"/>
        <w:docPartUnique/>
      </w:docPartObj>
    </w:sdtPr>
    <w:sdtEndPr/>
    <w:sdtContent>
      <w:p w:rsidR="004420A5" w:rsidRDefault="004131F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A5" w:rsidRDefault="004420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267"/>
    <w:multiLevelType w:val="multilevel"/>
    <w:tmpl w:val="6D96880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0032C5A"/>
    <w:multiLevelType w:val="multilevel"/>
    <w:tmpl w:val="548CF438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6" w:hanging="180"/>
      </w:pPr>
    </w:lvl>
  </w:abstractNum>
  <w:abstractNum w:abstractNumId="2" w15:restartNumberingAfterBreak="0">
    <w:nsid w:val="3A8D6558"/>
    <w:multiLevelType w:val="multilevel"/>
    <w:tmpl w:val="4378AA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1519BE"/>
    <w:multiLevelType w:val="multilevel"/>
    <w:tmpl w:val="AB125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30F3A26"/>
    <w:multiLevelType w:val="multilevel"/>
    <w:tmpl w:val="0994BDB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5" w15:restartNumberingAfterBreak="0">
    <w:nsid w:val="54A75DED"/>
    <w:multiLevelType w:val="multilevel"/>
    <w:tmpl w:val="08E46EC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25659DA"/>
    <w:multiLevelType w:val="multilevel"/>
    <w:tmpl w:val="A6C08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5FB1CB3"/>
    <w:multiLevelType w:val="multilevel"/>
    <w:tmpl w:val="698803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A5"/>
    <w:rsid w:val="004131F1"/>
    <w:rsid w:val="004420A5"/>
    <w:rsid w:val="0051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30D"/>
  <w15:docId w15:val="{6D000EDD-24DC-492B-81D1-3710287E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Текст концевой сноски Знак"/>
    <w:link w:val="a8"/>
    <w:uiPriority w:val="99"/>
    <w:qFormat/>
    <w:rPr>
      <w:sz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Верхний колонтитул Знак"/>
    <w:link w:val="ac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qFormat/>
  </w:style>
  <w:style w:type="character" w:customStyle="1" w:styleId="ae">
    <w:name w:val="Текст сноски Знак"/>
    <w:link w:val="af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сноски"/>
    <w:uiPriority w:val="99"/>
    <w:semiHidden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styleId="af2">
    <w:name w:val="Strong"/>
    <w:uiPriority w:val="22"/>
    <w:qFormat/>
    <w:rPr>
      <w:b/>
      <w:bCs/>
    </w:rPr>
  </w:style>
  <w:style w:type="character" w:customStyle="1" w:styleId="af3">
    <w:name w:val="Нижний колонтитул Знак"/>
    <w:basedOn w:val="a0"/>
    <w:link w:val="af4"/>
    <w:uiPriority w:val="99"/>
    <w:qFormat/>
  </w:style>
  <w:style w:type="character" w:customStyle="1" w:styleId="23">
    <w:name w:val="Основной текст с отступом 2 Знак"/>
    <w:link w:val="24"/>
    <w:qFormat/>
    <w:rPr>
      <w:rFonts w:ascii="Times New Roman" w:hAnsi="Times New Roman"/>
      <w:sz w:val="24"/>
      <w:szCs w:val="24"/>
    </w:rPr>
  </w:style>
  <w:style w:type="character" w:customStyle="1" w:styleId="af5">
    <w:name w:val="Основной текст Знак"/>
    <w:link w:val="af6"/>
    <w:qFormat/>
    <w:rPr>
      <w:sz w:val="22"/>
      <w:szCs w:val="22"/>
    </w:rPr>
  </w:style>
  <w:style w:type="character" w:customStyle="1" w:styleId="1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Текст выноски Знак"/>
    <w:link w:val="af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a">
    <w:name w:val="Заголовок Знак"/>
    <w:basedOn w:val="a0"/>
    <w:link w:val="afb"/>
    <w:qFormat/>
    <w:rPr>
      <w:rFonts w:ascii="Times New Roman" w:hAnsi="Times New Roman"/>
      <w:b/>
      <w:bCs/>
      <w:sz w:val="28"/>
      <w:szCs w:val="28"/>
    </w:rPr>
  </w:style>
  <w:style w:type="paragraph" w:styleId="afb">
    <w:name w:val="Title"/>
    <w:basedOn w:val="a"/>
    <w:next w:val="af6"/>
    <w:link w:val="afa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f6">
    <w:name w:val="Body Text"/>
    <w:basedOn w:val="a"/>
    <w:link w:val="af5"/>
    <w:unhideWhenUsed/>
    <w:pPr>
      <w:spacing w:after="120"/>
    </w:pPr>
  </w:style>
  <w:style w:type="paragraph" w:styleId="afc">
    <w:name w:val="List"/>
    <w:basedOn w:val="af6"/>
    <w:rPr>
      <w:rFonts w:ascii="PT Astra Serif" w:hAnsi="PT Astra Serif" w:cs="Noto Sans Devanagari"/>
    </w:rPr>
  </w:style>
  <w:style w:type="paragraph" w:styleId="af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e">
    <w:name w:val="index heading"/>
    <w:basedOn w:val="afb"/>
  </w:style>
  <w:style w:type="paragraph" w:styleId="a4">
    <w:name w:val="Subtitle"/>
    <w:basedOn w:val="a"/>
    <w:next w:val="a"/>
    <w:link w:val="a3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f1">
    <w:name w:val="Колонтитул"/>
    <w:basedOn w:val="a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3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4">
    <w:name w:val="No Spacing"/>
    <w:qFormat/>
    <w:rPr>
      <w:sz w:val="22"/>
      <w:szCs w:val="22"/>
    </w:r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customStyle="1" w:styleId="aff6">
    <w:name w:val="Содержимое врезки"/>
    <w:basedOn w:val="a"/>
    <w:qFormat/>
  </w:style>
  <w:style w:type="numbering" w:customStyle="1" w:styleId="Style1">
    <w:name w:val="Style1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6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453E47DFE2D8D8B400094539540440452E11BA9AA6312CC1E13E7EA76F620AE0092A34721C0541397382A4717v3h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53E47DFE2D8D8B400094539540440452E11BA9AA6312CC1E13E7EA76F620AE0092A34721C0541397382A4717v3h9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53E47DFE2D8D8B400094539540440452E119A2A96C12CC1E13E7EA76F620AE0092A34721C0541397382A4717v3h9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453E47DFE2D8D8B400094539540440452E11BA9AA6312CC1E13E7EA76F620AE1292FB4B21C343109A2D7C16516D78C366BCDFE7F2D82FE5v8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4FFB-B6E7-4BCD-9935-E59B9422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8175</Words>
  <Characters>46600</Characters>
  <Application>Microsoft Office Word</Application>
  <DocSecurity>0</DocSecurity>
  <Lines>388</Lines>
  <Paragraphs>109</Paragraphs>
  <ScaleCrop>false</ScaleCrop>
  <Company/>
  <LinksUpToDate>false</LinksUpToDate>
  <CharactersWithSpaces>54666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Юрист</cp:lastModifiedBy>
  <cp:revision>7</cp:revision>
  <dcterms:created xsi:type="dcterms:W3CDTF">2026-01-23T07:01:00Z</dcterms:created>
  <dcterms:modified xsi:type="dcterms:W3CDTF">2026-01-30T12:03:00Z</dcterms:modified>
  <dc:language>ru-RU</dc:language>
</cp:coreProperties>
</file>