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0" w:tblpY="813" w:topFromText="0" w:vertAnchor="page"/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6"/>
        <w:gridCol w:w="1414"/>
        <w:gridCol w:w="4536"/>
      </w:tblGrid>
      <w:tr>
        <w:trPr>
          <w:trHeight w:val="1560" w:hRule="atLeast"/>
        </w:trPr>
        <w:tc>
          <w:tcPr>
            <w:tcW w:w="425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ИСПОЛНИТЕЛЬНЫЙ КОМИТЕТ   НОВОТИНЧАЛИНСКОГО СЕЛЬСКОГО ПОСЕЛЕНИЯ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/>
              <w:drawing>
                <wp:inline distT="0" distB="0" distL="0" distR="0">
                  <wp:extent cx="723900" cy="11182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eastAsia="ru-RU"/>
              </w:rPr>
              <w:t>ЯҢА ТИНЧӘЛЕ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БАШКАРМА КОМИТЕТЫ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57" w:hRule="atLeast"/>
        </w:trPr>
        <w:tc>
          <w:tcPr>
            <w:tcW w:w="425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</w:tc>
      </w:tr>
      <w:tr>
        <w:trPr>
          <w:trHeight w:val="499" w:hRule="atLeast"/>
        </w:trPr>
        <w:tc>
          <w:tcPr>
            <w:tcW w:w="425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_________</w:t>
            </w:r>
          </w:p>
        </w:tc>
      </w:tr>
    </w:tbl>
    <w:p>
      <w:pPr>
        <w:pStyle w:val="ConsPlusTitle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Об утверждении методики расчета стоимости</w:t>
      </w:r>
    </w:p>
    <w:p>
      <w:pPr>
        <w:pStyle w:val="ConsPlusTitle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сносимых (вырубаемых) зеленых насаждений</w:t>
      </w:r>
    </w:p>
    <w:p>
      <w:pPr>
        <w:pStyle w:val="ConsPlusTitle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и проведения компенсационного озеленения</w:t>
      </w:r>
    </w:p>
    <w:p>
      <w:pPr>
        <w:pStyle w:val="ConsPlusTitle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на территории Новотинчалинского сельского </w:t>
      </w:r>
    </w:p>
    <w:p>
      <w:pPr>
        <w:pStyle w:val="ConsPlusTitle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поселения Буинского муниципального района РТ</w:t>
        <w:tab/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соответствии с Федеральным законом от 20.03.2025 года № 33-ФЗ «Об общих принципах организации местного самоуправления в единой системе публичной власти», Исполнительный комитет Новотинчалинского сельского поселения Буинского муниципального района Республики Татарстан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Новотинчалинского сельского поселения Буинского муниципального района Республики Татарстан.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 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Style w:val="-"/>
            <w:rFonts w:cs="Arial"/>
            <w:sz w:val="28"/>
            <w:szCs w:val="28"/>
          </w:rPr>
          <w:t>http://buinsk.tatarstan.ru</w:t>
        </w:r>
      </w:hyperlink>
      <w:r>
        <w:rPr>
          <w:sz w:val="28"/>
          <w:szCs w:val="28"/>
        </w:rPr>
        <w:t>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Новотинчалинского сельского поселения </w:t>
      </w:r>
    </w:p>
    <w:p>
      <w:pPr>
        <w:pStyle w:val="FORMATTEXT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Буинского муниципального района РТ                                       </w:t>
      </w:r>
      <w:r>
        <w:rPr>
          <w:sz w:val="27"/>
          <w:szCs w:val="27"/>
        </w:rPr>
        <w:t>_________</w:t>
      </w:r>
    </w:p>
    <w:p>
      <w:pPr>
        <w:pStyle w:val="FORMAT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FORMAT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FORMAT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FORMAT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FORMAT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FORMAT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Приложение</w:t>
      </w:r>
    </w:p>
    <w:p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к Постановлению</w:t>
      </w:r>
    </w:p>
    <w:p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Исполнительного комитета</w:t>
      </w:r>
    </w:p>
    <w:p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Новотинчалинского сельского поселения</w:t>
      </w:r>
    </w:p>
    <w:p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Буинского муниципального района</w:t>
      </w:r>
    </w:p>
    <w:p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Республики Татарстан от </w:t>
      </w:r>
      <w:r>
        <w:rPr>
          <w:sz w:val="24"/>
          <w:szCs w:val="24"/>
        </w:rPr>
        <w:t>____________</w:t>
      </w:r>
    </w:p>
    <w:p>
      <w:pPr>
        <w:pStyle w:val="FORMAT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FORMAT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расчета стоимости сносимых (вырубаемых) зеленых насаждений </w:t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проведения компенсационного озеленения на территории </w:t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Новотинчалинского сельского поселения </w:t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Республики Татарстан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>I.</w:t>
        <w:tab/>
        <w:t>Общие положения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1.1. 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20.03.2025 года № 33-ФЗ «Об общих принципах организации местного самоуправления в единой системе публичной власти», Конституцией Республики Татарстан, Федеральным законом от 10.01.2002 года № 7, ФЗ «Об охране окружающей среды», Законом Республики Татарстан от 28.07.2004 года № 45-ЗРТ «О местном самоуправлении в Республике Татарстан».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Новотинчалинского сельского поселения Буинского муниципального района Республики Татарстан.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Новотинчалинского сельского поселения Буинского муниципального района</w:t>
      </w:r>
      <w:r>
        <w:rPr>
          <w:rFonts w:eastAsia="Calibri" w:cs="" w:ascii="Calibri" w:hAnsi="Calibri" w:asciiTheme="minorHAnsi" w:cstheme="minorBidi" w:eastAsiaTheme="minorHAnsi" w:hAnsi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Республики Татарстан;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Новотинчалинского сельского поселения Буинского муниципального района Республики Татарстан.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>II.</w:t>
        <w:tab/>
        <w:t>Классификация и идентификация сносимых (вырубаемых) зеленых насаждений и определение их стоимости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1843"/>
        <w:gridCol w:w="3120"/>
        <w:gridCol w:w="4646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Зеленые насаждения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исчисления размера вреда (ущерба)*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Условные обозначения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Y=(C+U+Cv)xqxkl хк2хкцхкд Cv =V х СдЗ где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- размер ущерба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- стоимость работ по посадке и выращиванию 1 экземпляра дерева (таб. 1) Ц - стоимость 1 саженца (таб. 1)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 - стоимость объема изымаемой древесины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- объем изымаемой древесины за 1 экземпляр дерева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СдЗ - стоимость 1 куб. м древесины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 - количество экземпляров изымаемых деревьев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Кустарники, лианы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= (С+Ц )xq xkl хк2 хкц хкд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- размер ущерба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- стоимость работ по посадке и выращиванию 1 экземпляра или 1 пог. м кустарника, лианы (таб. 2)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 - стоимость посадочного материала (таб. 2)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 - количество экземпляров изымаемых кустарников, лиан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Газоны, цветники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= (С+Ц )xS xkl хк2 хкц хкд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- размер ущерба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- стоимость работ по посадке и выращиванию 1 кв. м газона, цветника (таб. 2)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 - стоимость посадочного материала (таб. 2)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- площадь изымаемого газона, цветника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Естественная травяная растительность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=8хк1хк2хкцхкд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- размер ущерба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FORMAT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FORMAT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Показатели для определения размера вреда, </w:t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>причиненного древесной растительности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36"/>
        <w:gridCol w:w="90"/>
        <w:gridCol w:w="15"/>
        <w:gridCol w:w="1251"/>
        <w:gridCol w:w="14"/>
        <w:gridCol w:w="121"/>
        <w:gridCol w:w="22"/>
        <w:gridCol w:w="33"/>
        <w:gridCol w:w="866"/>
        <w:gridCol w:w="254"/>
        <w:gridCol w:w="38"/>
        <w:gridCol w:w="1126"/>
        <w:gridCol w:w="351"/>
        <w:gridCol w:w="1174"/>
        <w:gridCol w:w="36"/>
        <w:gridCol w:w="1560"/>
        <w:gridCol w:w="1277"/>
      </w:tblGrid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ствола на высоте 1,3 м от комля (ѐ), см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 дерева (Ъ), м</w:t>
            </w: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 по высоте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изымаемой древесины за 1 ед. дерева (V), куб. м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1 куб. м древесины (Сд), руб.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Стоимость 1 саженца высотой до 1 м (Ц), руб.</w:t>
            </w:r>
            <w:bookmarkEnd w:id="0"/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Лиственные породы деревьев</w:t>
            </w:r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</w:t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8 до 5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0,023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501,5</w:t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12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0,043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14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0,072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 до 16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1}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0,112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18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0,164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до 20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0,219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24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до 28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до 32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до 36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до 40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44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1,56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44 до 48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2,10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48 до 52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2,53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52 до 56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56 до 60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60 до 64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4,08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64 до 68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4,65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68 до 72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5,27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72 до 76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5,92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76 до 80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6,61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80 до 84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7,35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84 до 88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8,13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88 до 92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8,92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92 до 96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9,81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96 до 100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10,70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100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11,63</w:t>
            </w:r>
          </w:p>
        </w:tc>
        <w:tc>
          <w:tcPr>
            <w:tcW w:w="15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</w:t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до 12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0,019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16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20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24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до 28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до 32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до 36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до 40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44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44 до 48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48 до 52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1,69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52 до 56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56 до 60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60 до 64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64 до 68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68 до 72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3,042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72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4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3,85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Береза</w:t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 до 16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18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0,164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до 20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до 28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до 32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до 36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до 40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44 до 48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1,76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48 до 52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Осина, ольха, клен, ясень, вяз, тополь, ива и прочие</w:t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осина,</w:t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ольха</w:t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II, все</w:t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остальные -</w:t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0,057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</w:t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489,6, все</w:t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остальные</w:t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501,5</w:t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 до 16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18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0,185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до 20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0,254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до 28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до 32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до 36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до 40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44 до 48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2,02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48 до 52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Хвойные породы деревьев</w:t>
            </w:r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Сосна</w:t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до 10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920,4</w:t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0,049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0,076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 до 16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18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0,166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до 20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до 28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до 32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до 36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до 40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44 до 48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48 до 52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52 до 56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2,55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56 до 60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60 до 64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920,4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708,0</w:t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64 до 68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68 до 72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72 до 76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76 до 80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80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6,09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</w:t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до 10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920,4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708,0</w:t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12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0,049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14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0,076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 до 16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0,118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18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0,166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до 20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24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до 28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до 32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до 36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до 40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44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1,47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44 до 48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1,81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48 до 52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52 до 56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2,55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56 до 60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2,97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60 до 64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3,41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64 до 68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3,88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68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4,40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07" w:hRule="atLeast"/>
        </w:trPr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Пихта</w:t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до 10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0,018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12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0,036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14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0,070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 до 16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0,102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18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0,150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до 20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0,201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24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до 28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до 32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до 36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1Д9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до 40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1,51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44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1,87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44 до 48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2,27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48 до 52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2,70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52 до 56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3,11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56 до 60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60</w:t>
            </w:r>
          </w:p>
        </w:tc>
        <w:tc>
          <w:tcPr>
            <w:tcW w:w="1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5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  <w:tc>
          <w:tcPr>
            <w:tcW w:w="12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Лиственница</w:t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12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0,068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14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0,105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 до 16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18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0,209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до 20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0,276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24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до 28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до 32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до 36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до 40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44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44 до 48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48 до 52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52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0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Кедр</w:t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12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14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 до 16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18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0,164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до 20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31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24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до 28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до 32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0,61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до 36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до 40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44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44 до 48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1,76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48 до 52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52</w:t>
            </w: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7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15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 </w:t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Показатели для определения размера вреда, </w:t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>причиненного кустарниковой и травянистой растительности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85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5"/>
        <w:gridCol w:w="2964"/>
        <w:gridCol w:w="1840"/>
        <w:gridCol w:w="2552"/>
        <w:gridCol w:w="1984"/>
      </w:tblGrid>
      <w:tr>
        <w:trPr>
          <w:trHeight w:val="1122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Зеленые насаждения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произведенных работ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посадке и уходу без НДС (С)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посадочного материала (Ц)</w:t>
            </w:r>
          </w:p>
        </w:tc>
      </w:tr>
      <w:tr>
        <w:trPr>
          <w:trHeight w:val="254" w:hRule="atLeast"/>
        </w:trPr>
        <w:tc>
          <w:tcPr>
            <w:tcW w:w="9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Лиственные породы кустарников</w:t>
            </w:r>
          </w:p>
        </w:tc>
      </w:tr>
      <w:tr>
        <w:trPr>
          <w:trHeight w:val="268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изгородь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по г. 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469,43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Одиночные экземпляры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шт.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Хвойные породы кустарников</w:t>
            </w:r>
          </w:p>
        </w:tc>
      </w:tr>
      <w:tr>
        <w:trPr>
          <w:trHeight w:val="523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Одиночные экземпляры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шт.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461,6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Одиночные экземпляры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шт.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Естественная травянистая растительность, представленная луговыми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травами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кв. 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07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Естественная травянистая растительность, представленная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сорными травами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кв. 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607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Газоны (с посевом семян газонных трав)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кв. 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Рулонный газон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кв. 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  '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Цветники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кв. 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сортов цветочно- декоративных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растений</w:t>
            </w:r>
          </w:p>
        </w:tc>
      </w:tr>
    </w:tbl>
    <w:p>
      <w:pPr>
        <w:pStyle w:val="FORMAT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  <w:t>Таблица 3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Значение коэффициента, </w:t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>учитывающего сред защитные свойства растительности (kl)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75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62"/>
        <w:gridCol w:w="2412"/>
      </w:tblGrid>
      <w:tr>
        <w:trPr>
          <w:trHeight w:val="248" w:hRule="atLeast"/>
        </w:trPr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kl</w:t>
            </w:r>
          </w:p>
        </w:tc>
      </w:tr>
      <w:tr>
        <w:trPr>
          <w:trHeight w:val="261" w:hRule="atLeast"/>
        </w:trPr>
        <w:tc>
          <w:tcPr>
            <w:tcW w:w="6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Насаждения общего пользования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Насаждения ограниченного пользования</w:t>
            </w:r>
          </w:p>
        </w:tc>
        <w:tc>
          <w:tcPr>
            <w:tcW w:w="24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Насаждения специального пользования</w:t>
            </w:r>
          </w:p>
        </w:tc>
        <w:tc>
          <w:tcPr>
            <w:tcW w:w="2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>
      <w:pPr>
        <w:pStyle w:val="FORMAT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4 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>Значение коэффициента, учитывающего состояние растительности (к2)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95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5"/>
        <w:gridCol w:w="4043"/>
        <w:gridCol w:w="1857"/>
      </w:tblGrid>
      <w:tr>
        <w:trPr>
          <w:trHeight w:val="935" w:hRule="atLeast"/>
        </w:trPr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</w:t>
              <w:tab/>
              <w:t>определяется</w:t>
              <w:tab/>
              <w:t>в зависимости</w:t>
              <w:tab/>
              <w:tab/>
              <w:t>от</w:t>
              <w:tab/>
              <w:t>состояния облиствленности растения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i/>
                <w:sz w:val="28"/>
                <w:szCs w:val="28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Хорошее(насаждения здоровые) I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листвы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 ослабленное 11</w:t>
            </w:r>
          </w:p>
        </w:tc>
        <w:tc>
          <w:tcPr>
            <w:tcW w:w="40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90-70% листвы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Сильно ослабленное III</w:t>
            </w:r>
          </w:p>
        </w:tc>
        <w:tc>
          <w:tcPr>
            <w:tcW w:w="40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60-40% листвы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Угнетенное (усыхающее) IV</w:t>
            </w:r>
          </w:p>
        </w:tc>
        <w:tc>
          <w:tcPr>
            <w:tcW w:w="40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30-20% листвы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Погибающее V</w:t>
            </w:r>
          </w:p>
        </w:tc>
        <w:tc>
          <w:tcPr>
            <w:tcW w:w="40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20-10% листвы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Погибшее VI</w:t>
            </w:r>
          </w:p>
        </w:tc>
        <w:tc>
          <w:tcPr>
            <w:tcW w:w="4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листва отсутствует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5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>Значение коэффициента, учитывающего ценность растительности (кц)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95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5"/>
        <w:gridCol w:w="5928"/>
        <w:gridCol w:w="1852"/>
      </w:tblGrid>
      <w:tr>
        <w:trPr>
          <w:trHeight w:val="253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ценности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деревьев и кустарников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кц</w:t>
            </w:r>
          </w:p>
        </w:tc>
      </w:tr>
      <w:tr>
        <w:trPr>
          <w:trHeight w:val="1204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1-ая группа (особо ценные)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виды хвойных, вечнозеленых деревьев, в том числе: кедр, сосна, ель, пихта, лиственница:</w:t>
            </w:r>
          </w:p>
          <w:p>
            <w:pPr>
              <w:pStyle w:val="FORMATTEXT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 видов лиственных деревьев, в том числе: дуб,</w:t>
            </w:r>
          </w:p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ясень, ольха, вяз, ильм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группа (ценные)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виды хвойных кустарников;</w:t>
            </w:r>
          </w:p>
          <w:p>
            <w:pPr>
              <w:pStyle w:val="FORMATTEXT"/>
              <w:widowControl w:val="fals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 видов лиственных деревьев, в том числе: липа, береза, клен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 группа (малоценные)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остальные виды деревьев и лиственные кустарники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center"/>
        <w:rPr>
          <w:sz w:val="28"/>
          <w:szCs w:val="28"/>
        </w:rPr>
      </w:pPr>
      <w:r>
        <w:rPr>
          <w:sz w:val="28"/>
          <w:szCs w:val="28"/>
        </w:rPr>
        <w:t>Порядок внесения и расходования средств за сносимые (вырубаемые) зеленые насаждения</w:t>
      </w:r>
    </w:p>
    <w:p>
      <w:pPr>
        <w:pStyle w:val="FORMAT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3.1. Средства за сносимые (вырубаемые) зеленые насаждения образуются за счет: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платежей за сносимые (вырубаемые) зеленые насаждения;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возмещения (компенсации) вреда, причиненного незаконным сносом (вырубкой) зеленых насаждений;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поступлений от иных источников.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рытье ям и канав (траншей) для посадки деревьев и кустарников;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замена грунта на 25%, 50% или 100% при посадке деревьев, кустарников и устройстве газонов;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укрепление откосов с применением биоматов, деревянной решетки, одерновки, включая стоимость дерна;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внесение в почву органических и минеральных удобрений при подготовке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посадка деревьев и кустарников в готовые ямы и траншеи;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посев семян трав, включая гидропосев, укладка дерна;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работы по вертикальному озеленению; 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подсев семян газонных трав.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3.4. Использование средств, поступивших за сносимые (вырубаемые) зеленые насаждения, в иных целях запрещается.</w:t>
      </w:r>
    </w:p>
    <w:p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 Light">
    <w:charset w:val="01"/>
    <w:family w:val="roman"/>
    <w:pitch w:val="default"/>
  </w:font>
  <w:font w:name="Times New Roman CYR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5c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ed201c"/>
    <w:pPr>
      <w:keepNext w:val="true"/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color w:val="0000FF"/>
      <w:sz w:val="20"/>
      <w:szCs w:val="20"/>
      <w:lang w:val="x-none" w:eastAsia="ru-RU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d201c"/>
    <w:pPr>
      <w:keepNext w:val="true"/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color w:val="0000FF"/>
      <w:sz w:val="28"/>
      <w:szCs w:val="20"/>
      <w:lang w:val="x-none" w:eastAsia="ru-RU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d201c"/>
    <w:pPr>
      <w:keepNext w:val="true"/>
      <w:suppressAutoHyphens w:val="true"/>
      <w:spacing w:lineRule="auto" w:line="240"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ed201c"/>
    <w:pPr>
      <w:keepNext w:val="true"/>
      <w:suppressAutoHyphens w:val="true"/>
      <w:spacing w:lineRule="auto" w:line="240"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ed201c"/>
    <w:pPr>
      <w:suppressAutoHyphens w:val="true"/>
      <w:spacing w:lineRule="auto" w:line="240"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ed201c"/>
    <w:pPr>
      <w:suppressAutoHyphens w:val="true"/>
      <w:spacing w:lineRule="auto" w:line="240" w:before="240" w:after="60"/>
      <w:outlineLvl w:val="5"/>
    </w:pPr>
    <w:rPr>
      <w:rFonts w:ascii="Calibri" w:hAnsi="Calibri" w:eastAsia="Times New Roman" w:cs="Times New Roman"/>
      <w:b/>
      <w:bCs/>
      <w:lang w:eastAsia="ru-RU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ed201c"/>
    <w:pPr>
      <w:suppressAutoHyphens w:val="true"/>
      <w:spacing w:lineRule="auto" w:line="240" w:before="240" w:after="60"/>
      <w:outlineLvl w:val="6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ed201c"/>
    <w:pPr>
      <w:suppressAutoHyphens w:val="true"/>
      <w:spacing w:lineRule="auto" w:line="240"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ed201c"/>
    <w:pPr>
      <w:suppressAutoHyphens w:val="true"/>
      <w:spacing w:lineRule="auto" w:line="240" w:before="240" w:after="60"/>
      <w:outlineLvl w:val="8"/>
    </w:pPr>
    <w:rPr>
      <w:rFonts w:ascii="Cambria" w:hAnsi="Cambria" w:eastAsia="Times New Roman" w:cs="Times New Roman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ed201c"/>
    <w:rPr>
      <w:rFonts w:ascii="Times New Roman" w:hAnsi="Times New Roman" w:eastAsia="Times New Roman" w:cs="Times New Roman"/>
      <w:b/>
      <w:color w:val="0000FF"/>
      <w:sz w:val="20"/>
      <w:szCs w:val="20"/>
      <w:lang w:val="x-none" w:eastAsia="ru-RU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ed201c"/>
    <w:rPr>
      <w:rFonts w:ascii="Times New Roman" w:hAnsi="Times New Roman" w:eastAsia="Times New Roman" w:cs="Times New Roman"/>
      <w:b/>
      <w:color w:val="0000FF"/>
      <w:sz w:val="28"/>
      <w:szCs w:val="20"/>
      <w:lang w:val="x-none" w:eastAsia="ru-RU"/>
    </w:rPr>
  </w:style>
  <w:style w:type="character" w:styleId="-">
    <w:name w:val="Hyperlink"/>
    <w:basedOn w:val="DefaultParagraphFont"/>
    <w:uiPriority w:val="99"/>
    <w:unhideWhenUsed/>
    <w:rsid w:val="00cb48f1"/>
    <w:rPr>
      <w:rFonts w:cs="Times New Roman"/>
      <w:color w:val="0563C1" w:themeColor="hyperlink"/>
      <w:u w:val="single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522161"/>
    <w:rPr>
      <w:rFonts w:ascii="Tahoma" w:hAnsi="Tahoma" w:cs="Tahoma"/>
      <w:sz w:val="16"/>
      <w:szCs w:val="16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e02931"/>
    <w:rPr/>
  </w:style>
  <w:style w:type="character" w:styleId="Style7" w:customStyle="1">
    <w:name w:val="Нижний колонтитул Знак"/>
    <w:basedOn w:val="DefaultParagraphFont"/>
    <w:uiPriority w:val="99"/>
    <w:qFormat/>
    <w:rsid w:val="00e02931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ed201c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ed201c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ed201c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ed201c"/>
    <w:rPr>
      <w:rFonts w:ascii="Calibri" w:hAnsi="Calibri" w:eastAsia="Times New Roman" w:cs="Times New Roman"/>
      <w:b/>
      <w:bCs/>
      <w:lang w:eastAsia="ru-RU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ed201c"/>
    <w:rPr>
      <w:rFonts w:ascii="Calibri" w:hAnsi="Calibri" w:eastAsia="Times New Roman" w:cs="Times New Roman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ed201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ed201c"/>
    <w:rPr>
      <w:rFonts w:ascii="Cambria" w:hAnsi="Cambria" w:eastAsia="Times New Roman" w:cs="Times New Roman"/>
      <w:lang w:eastAsia="ru-RU"/>
    </w:rPr>
  </w:style>
  <w:style w:type="character" w:styleId="Style8">
    <w:name w:val="Emphasis"/>
    <w:uiPriority w:val="20"/>
    <w:qFormat/>
    <w:rsid w:val="00ed201c"/>
    <w:rPr>
      <w:rFonts w:ascii="Calibri" w:hAnsi="Calibri" w:cs="Calibri"/>
      <w:b/>
      <w:bCs w:val="false"/>
      <w:i/>
      <w:iCs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ed201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Основной текст Знак"/>
    <w:basedOn w:val="DefaultParagraphFont"/>
    <w:uiPriority w:val="99"/>
    <w:semiHidden/>
    <w:qFormat/>
    <w:rsid w:val="00ed201c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12" w:customStyle="1">
    <w:name w:val="Заголовок Знак1"/>
    <w:basedOn w:val="DefaultParagraphFont"/>
    <w:uiPriority w:val="99"/>
    <w:qFormat/>
    <w:locked/>
    <w:rsid w:val="00ed201c"/>
    <w:rPr>
      <w:rFonts w:ascii="PT Astra Serif" w:hAnsi="PT Astra Serif" w:eastAsia="Tahoma" w:cs="Noto Sans Devanagari"/>
      <w:color w:val="000000"/>
      <w:sz w:val="28"/>
      <w:szCs w:val="28"/>
      <w:lang w:eastAsia="ru-RU"/>
    </w:rPr>
  </w:style>
  <w:style w:type="character" w:styleId="Style11" w:customStyle="1">
    <w:name w:val="Заголовок Знак"/>
    <w:basedOn w:val="DefaultParagraphFont"/>
    <w:link w:val="14"/>
    <w:uiPriority w:val="10"/>
    <w:qFormat/>
    <w:rsid w:val="00ed201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2" w:customStyle="1">
    <w:name w:val="Подзаголовок Знак"/>
    <w:basedOn w:val="DefaultParagraphFont"/>
    <w:uiPriority w:val="11"/>
    <w:qFormat/>
    <w:rsid w:val="00ed201c"/>
    <w:rPr>
      <w:rFonts w:ascii="Cambria" w:hAnsi="Cambria" w:eastAsia="Times New Roman" w:cs="Times New Roman"/>
      <w:sz w:val="24"/>
      <w:szCs w:val="24"/>
      <w:lang w:eastAsia="ru-RU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sid w:val="00ed201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ed201c"/>
    <w:rPr>
      <w:rFonts w:ascii="Calibri" w:hAnsi="Calibri" w:eastAsia="Times New Roman" w:cs="Times New Roman"/>
      <w:i/>
      <w:sz w:val="24"/>
      <w:szCs w:val="24"/>
      <w:lang w:eastAsia="ru-RU"/>
    </w:rPr>
  </w:style>
  <w:style w:type="character" w:styleId="Style13" w:customStyle="1">
    <w:name w:val="Выделенная цитата Знак"/>
    <w:basedOn w:val="DefaultParagraphFont"/>
    <w:link w:val="IntenseQuote"/>
    <w:uiPriority w:val="30"/>
    <w:qFormat/>
    <w:rsid w:val="00ed201c"/>
    <w:rPr>
      <w:rFonts w:ascii="Calibri" w:hAnsi="Calibri" w:eastAsia="Times New Roman" w:cs="Times New Roman"/>
      <w:b/>
      <w:i/>
      <w:sz w:val="24"/>
      <w:lang w:eastAsia="ru-RU"/>
    </w:rPr>
  </w:style>
  <w:style w:type="character" w:styleId="SubtleEmphasis">
    <w:name w:val="Subtle Emphasis"/>
    <w:uiPriority w:val="19"/>
    <w:qFormat/>
    <w:rsid w:val="00ed201c"/>
    <w:rPr>
      <w:i/>
      <w:iCs w:val="false"/>
      <w:color w:val="5A5A5A"/>
    </w:rPr>
  </w:style>
  <w:style w:type="character" w:styleId="IntenseEmphasis">
    <w:name w:val="Intense Emphasis"/>
    <w:uiPriority w:val="21"/>
    <w:qFormat/>
    <w:rsid w:val="00ed201c"/>
    <w:rPr>
      <w:b/>
      <w:bCs w:val="false"/>
      <w:i/>
      <w:iCs w:val="false"/>
      <w:sz w:val="24"/>
      <w:szCs w:val="24"/>
      <w:u w:val="single"/>
    </w:rPr>
  </w:style>
  <w:style w:type="character" w:styleId="SubtleReference">
    <w:name w:val="Subtle Reference"/>
    <w:uiPriority w:val="31"/>
    <w:qFormat/>
    <w:rsid w:val="00ed201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d201c"/>
    <w:rPr>
      <w:b/>
      <w:bCs w:val="false"/>
      <w:sz w:val="24"/>
      <w:u w:val="single"/>
    </w:rPr>
  </w:style>
  <w:style w:type="character" w:styleId="BookTitle">
    <w:name w:val="Book Title"/>
    <w:uiPriority w:val="33"/>
    <w:qFormat/>
    <w:rsid w:val="00ed201c"/>
    <w:rPr>
      <w:rFonts w:ascii="Cambria" w:hAnsi="Cambria" w:eastAsia="Times New Roman"/>
      <w:b/>
      <w:bCs w:val="false"/>
      <w:i/>
      <w:iCs w:val="false"/>
      <w:sz w:val="24"/>
      <w:szCs w:val="24"/>
    </w:rPr>
  </w:style>
  <w:style w:type="character" w:styleId="Heading1Char" w:customStyle="1">
    <w:name w:val="Heading 1 Char"/>
    <w:uiPriority w:val="99"/>
    <w:qFormat/>
    <w:locked/>
    <w:rsid w:val="00ed201c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14" w:customStyle="1">
    <w:name w:val="Цветовое выделение"/>
    <w:uiPriority w:val="99"/>
    <w:qFormat/>
    <w:rsid w:val="00ed201c"/>
    <w:rPr>
      <w:b/>
      <w:bCs/>
      <w:color w:val="26282F"/>
    </w:rPr>
  </w:style>
  <w:style w:type="character" w:styleId="Style15" w:customStyle="1">
    <w:name w:val="Гипертекстовая ссылка"/>
    <w:uiPriority w:val="99"/>
    <w:qFormat/>
    <w:rsid w:val="00ed201c"/>
    <w:rPr>
      <w:b/>
      <w:bCs/>
      <w:color w:val="106BBE"/>
    </w:rPr>
  </w:style>
  <w:style w:type="character" w:styleId="Style16" w:customStyle="1">
    <w:name w:val="Цветовое выделение для Текст"/>
    <w:uiPriority w:val="99"/>
    <w:qFormat/>
    <w:rsid w:val="00ed201c"/>
    <w:rPr>
      <w:rFonts w:ascii="Times New Roman CYR" w:hAnsi="Times New Roman CYR" w:cs="Times New Roman CYR"/>
    </w:rPr>
  </w:style>
  <w:style w:type="character" w:styleId="Style17" w:customStyle="1">
    <w:name w:val="Символ нумерации"/>
    <w:qFormat/>
    <w:rsid w:val="00ed201c"/>
    <w:rPr/>
  </w:style>
  <w:style w:type="character" w:styleId="13" w:customStyle="1">
    <w:name w:val="Выделенная цитата Знак1"/>
    <w:basedOn w:val="DefaultParagraphFont"/>
    <w:uiPriority w:val="30"/>
    <w:qFormat/>
    <w:rsid w:val="00ed201c"/>
    <w:rPr>
      <w:rFonts w:ascii="Times New Roman" w:hAnsi="Times New Roman" w:eastAsia="Times New Roman" w:cs="Times New Roman"/>
      <w:i/>
      <w:iCs/>
      <w:color w:val="5B9BD5" w:themeColor="accent1"/>
      <w:sz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0"/>
    <w:uiPriority w:val="99"/>
    <w:semiHidden/>
    <w:unhideWhenUsed/>
    <w:qFormat/>
    <w:rsid w:val="00ed201c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uiPriority w:val="99"/>
    <w:qFormat/>
    <w:rsid w:val="004d0c5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d0c5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c6ab6"/>
    <w:pPr>
      <w:spacing w:before="0" w:after="160"/>
      <w:ind w:left="720" w:hanging="0"/>
      <w:contextualSpacing/>
    </w:pPr>
    <w:rPr/>
  </w:style>
  <w:style w:type="paragraph" w:styleId="FORMATTEXT" w:customStyle="1">
    <w:name w:val=".FORMATTEXT"/>
    <w:uiPriority w:val="99"/>
    <w:qFormat/>
    <w:rsid w:val="00cb48f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52216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Колонтитул"/>
    <w:basedOn w:val="Normal"/>
    <w:uiPriority w:val="99"/>
    <w:qFormat/>
    <w:rsid w:val="00ed201c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Style24">
    <w:name w:val="Header"/>
    <w:basedOn w:val="Normal"/>
    <w:link w:val="Style6"/>
    <w:uiPriority w:val="99"/>
    <w:unhideWhenUsed/>
    <w:qFormat/>
    <w:rsid w:val="00e0293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7"/>
    <w:uiPriority w:val="99"/>
    <w:unhideWhenUsed/>
    <w:qFormat/>
    <w:rsid w:val="00e0293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uiPriority w:val="99"/>
    <w:qFormat/>
    <w:rsid w:val="00ed201c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Footnote Text"/>
    <w:basedOn w:val="Normal"/>
    <w:link w:val="Style9"/>
    <w:uiPriority w:val="99"/>
    <w:semiHidden/>
    <w:unhideWhenUsed/>
    <w:qFormat/>
    <w:rsid w:val="00ed201c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7">
    <w:name w:val="Title"/>
    <w:basedOn w:val="Normal"/>
    <w:next w:val="Style19"/>
    <w:link w:val="12"/>
    <w:uiPriority w:val="99"/>
    <w:qFormat/>
    <w:rsid w:val="00ed201c"/>
    <w:pPr>
      <w:keepNext w:val="true"/>
      <w:suppressAutoHyphens w:val="true"/>
      <w:spacing w:lineRule="auto" w:line="240" w:before="240" w:after="120"/>
    </w:pPr>
    <w:rPr>
      <w:rFonts w:ascii="PT Astra Serif" w:hAnsi="PT Astra Serif" w:eastAsia="Tahoma" w:cs="Noto Sans Devanagari"/>
      <w:color w:val="000000"/>
      <w:sz w:val="28"/>
      <w:szCs w:val="28"/>
      <w:lang w:eastAsia="ru-RU"/>
    </w:rPr>
  </w:style>
  <w:style w:type="paragraph" w:styleId="14" w:customStyle="1">
    <w:name w:val="Заголовок1"/>
    <w:basedOn w:val="Normal"/>
    <w:next w:val="Normal"/>
    <w:link w:val="Style11"/>
    <w:uiPriority w:val="10"/>
    <w:qFormat/>
    <w:rsid w:val="00ed201c"/>
    <w:pPr>
      <w:suppressAutoHyphens w:val="true"/>
      <w:spacing w:lineRule="auto" w:line="240" w:before="240" w:after="6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28">
    <w:name w:val="Subtitle"/>
    <w:basedOn w:val="Normal"/>
    <w:next w:val="Normal"/>
    <w:link w:val="Style12"/>
    <w:uiPriority w:val="11"/>
    <w:qFormat/>
    <w:rsid w:val="00ed201c"/>
    <w:pPr>
      <w:suppressAutoHyphens w:val="true"/>
      <w:spacing w:lineRule="auto" w:line="240" w:before="0" w:after="60"/>
      <w:jc w:val="center"/>
      <w:outlineLvl w:val="1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ed201c"/>
    <w:pPr>
      <w:suppressAutoHyphens w:val="tru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basedOn w:val="Normal"/>
    <w:uiPriority w:val="1"/>
    <w:qFormat/>
    <w:rsid w:val="00ed201c"/>
    <w:pPr>
      <w:suppressAutoHyphens w:val="true"/>
      <w:spacing w:lineRule="auto" w:line="240" w:before="0" w:after="0"/>
    </w:pPr>
    <w:rPr>
      <w:rFonts w:ascii="Calibri" w:hAnsi="Calibri" w:eastAsia="Times New Roman" w:cs="Times New Roman"/>
      <w:sz w:val="24"/>
      <w:szCs w:val="32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ed201c"/>
    <w:pPr>
      <w:suppressAutoHyphens w:val="true"/>
      <w:spacing w:lineRule="auto" w:line="240" w:before="0" w:after="0"/>
    </w:pPr>
    <w:rPr>
      <w:rFonts w:ascii="Calibri" w:hAnsi="Calibri" w:eastAsia="Times New Roman" w:cs="Times New Roman"/>
      <w:i/>
      <w:sz w:val="24"/>
      <w:szCs w:val="24"/>
      <w:lang w:eastAsia="ru-RU"/>
    </w:rPr>
  </w:style>
  <w:style w:type="paragraph" w:styleId="IntenseQuote">
    <w:name w:val="Intense Quote"/>
    <w:basedOn w:val="Normal"/>
    <w:next w:val="Normal"/>
    <w:link w:val="Style13"/>
    <w:uiPriority w:val="30"/>
    <w:qFormat/>
    <w:rsid w:val="00ed201c"/>
    <w:pPr>
      <w:suppressAutoHyphens w:val="true"/>
      <w:spacing w:lineRule="auto" w:line="240" w:before="0" w:after="0"/>
      <w:ind w:left="720" w:right="720" w:hanging="0"/>
    </w:pPr>
    <w:rPr>
      <w:rFonts w:ascii="Calibri" w:hAnsi="Calibri" w:eastAsia="Times New Roman" w:cs="Times New Roman"/>
      <w:b/>
      <w:i/>
      <w:sz w:val="24"/>
      <w:lang w:eastAsia="ru-RU"/>
    </w:rPr>
  </w:style>
  <w:style w:type="paragraph" w:styleId="ConsPlusNonformat" w:customStyle="1">
    <w:name w:val="ConsPlusNonformat"/>
    <w:uiPriority w:val="99"/>
    <w:qFormat/>
    <w:rsid w:val="00ed201c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5" w:customStyle="1">
    <w:name w:val="марк список 1"/>
    <w:basedOn w:val="Normal"/>
    <w:uiPriority w:val="99"/>
    <w:qFormat/>
    <w:rsid w:val="00ed201c"/>
    <w:pPr>
      <w:tabs>
        <w:tab w:val="clear" w:pos="708"/>
        <w:tab w:val="left" w:pos="360" w:leader="none"/>
      </w:tabs>
      <w:suppressAutoHyphens w:val="true"/>
      <w:spacing w:lineRule="atLeast" w:line="360" w:before="120" w:after="12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42" w:customStyle="1">
    <w:name w:val="Знак Знак4"/>
    <w:basedOn w:val="Normal"/>
    <w:uiPriority w:val="99"/>
    <w:qFormat/>
    <w:rsid w:val="00ed201c"/>
    <w:pPr>
      <w:suppressAutoHyphens w:val="true"/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411" w:customStyle="1">
    <w:name w:val="Знак Знак41"/>
    <w:basedOn w:val="Normal"/>
    <w:uiPriority w:val="99"/>
    <w:qFormat/>
    <w:rsid w:val="00ed201c"/>
    <w:pPr>
      <w:suppressAutoHyphens w:val="true"/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29" w:customStyle="1">
    <w:name w:val="Текст (справка)"/>
    <w:basedOn w:val="Normal"/>
    <w:next w:val="Normal"/>
    <w:uiPriority w:val="99"/>
    <w:qFormat/>
    <w:rsid w:val="00ed201c"/>
    <w:pPr>
      <w:widowControl w:val="false"/>
      <w:suppressAutoHyphens w:val="true"/>
      <w:spacing w:lineRule="auto" w:line="240" w:before="0" w:after="0"/>
      <w:ind w:left="170" w:right="170" w:hanging="0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Style30" w:customStyle="1">
    <w:name w:val="Комментарий"/>
    <w:basedOn w:val="Style29"/>
    <w:next w:val="Normal"/>
    <w:uiPriority w:val="99"/>
    <w:qFormat/>
    <w:rsid w:val="00ed201c"/>
    <w:pPr>
      <w:spacing w:before="75" w:after="0"/>
      <w:ind w:left="170" w:right="0" w:hanging="0"/>
      <w:jc w:val="both"/>
    </w:pPr>
    <w:rPr>
      <w:color w:val="353842"/>
    </w:rPr>
  </w:style>
  <w:style w:type="paragraph" w:styleId="Style31" w:customStyle="1">
    <w:name w:val="Информация о версии"/>
    <w:basedOn w:val="Style30"/>
    <w:next w:val="Normal"/>
    <w:uiPriority w:val="99"/>
    <w:qFormat/>
    <w:rsid w:val="00ed201c"/>
    <w:pPr/>
    <w:rPr>
      <w:i/>
      <w:iCs/>
    </w:rPr>
  </w:style>
  <w:style w:type="paragraph" w:styleId="Style32" w:customStyle="1">
    <w:name w:val="Текст информации об изменениях"/>
    <w:basedOn w:val="Normal"/>
    <w:next w:val="Normal"/>
    <w:uiPriority w:val="99"/>
    <w:qFormat/>
    <w:rsid w:val="00ed201c"/>
    <w:pPr>
      <w:widowControl w:val="false"/>
      <w:suppressAutoHyphens w:val="true"/>
      <w:spacing w:lineRule="auto" w:line="240" w:before="0" w:after="0"/>
      <w:ind w:firstLine="720"/>
      <w:jc w:val="both"/>
    </w:pPr>
    <w:rPr>
      <w:rFonts w:ascii="Times New Roman CYR" w:hAnsi="Times New Roman CYR" w:eastAsia="Times New Roman" w:cs="Times New Roman CYR"/>
      <w:color w:val="353842"/>
      <w:sz w:val="20"/>
      <w:szCs w:val="20"/>
      <w:lang w:eastAsia="ru-RU"/>
    </w:rPr>
  </w:style>
  <w:style w:type="paragraph" w:styleId="Style33" w:customStyle="1">
    <w:name w:val="Информация об изменениях"/>
    <w:basedOn w:val="Style32"/>
    <w:next w:val="Normal"/>
    <w:uiPriority w:val="99"/>
    <w:qFormat/>
    <w:rsid w:val="00ed201c"/>
    <w:pPr>
      <w:spacing w:before="180" w:after="0"/>
      <w:ind w:left="360" w:right="360" w:hanging="0"/>
    </w:pPr>
    <w:rPr/>
  </w:style>
  <w:style w:type="paragraph" w:styleId="Style34" w:customStyle="1">
    <w:name w:val="Нормальный (таблица)"/>
    <w:basedOn w:val="Normal"/>
    <w:next w:val="Normal"/>
    <w:uiPriority w:val="99"/>
    <w:qFormat/>
    <w:rsid w:val="00ed201c"/>
    <w:pPr>
      <w:widowControl w:val="false"/>
      <w:suppressAutoHyphens w:val="tru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Style35" w:customStyle="1">
    <w:name w:val="Подзаголовок для информации об изменениях"/>
    <w:basedOn w:val="Style32"/>
    <w:next w:val="Normal"/>
    <w:uiPriority w:val="99"/>
    <w:qFormat/>
    <w:rsid w:val="00ed201c"/>
    <w:pPr/>
    <w:rPr>
      <w:b/>
      <w:bCs/>
    </w:rPr>
  </w:style>
  <w:style w:type="paragraph" w:styleId="Style36" w:customStyle="1">
    <w:name w:val="Прижатый влево"/>
    <w:basedOn w:val="Normal"/>
    <w:next w:val="Normal"/>
    <w:uiPriority w:val="99"/>
    <w:qFormat/>
    <w:rsid w:val="00ed201c"/>
    <w:pPr>
      <w:widowControl w:val="false"/>
      <w:suppressAutoHyphens w:val="true"/>
      <w:spacing w:lineRule="auto" w:line="240" w:before="0" w:after="0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ConsPlusCell" w:customStyle="1">
    <w:name w:val="ConsPlusCell"/>
    <w:uiPriority w:val="99"/>
    <w:qFormat/>
    <w:rsid w:val="00ed201c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rsid w:val="00ed201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ed201c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uiPriority w:val="99"/>
    <w:qFormat/>
    <w:rsid w:val="00ed201c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uiPriority w:val="99"/>
    <w:qFormat/>
    <w:rsid w:val="00ed201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uiPriority w:val="99"/>
    <w:qFormat/>
    <w:rsid w:val="00ed201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Headertext" w:customStyle="1">
    <w:name w:val="headertext"/>
    <w:basedOn w:val="Normal"/>
    <w:uiPriority w:val="99"/>
    <w:qFormat/>
    <w:rsid w:val="00ed201c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 w:customStyle="1">
    <w:name w:val="Table Paragraph"/>
    <w:basedOn w:val="Normal"/>
    <w:uiPriority w:val="1"/>
    <w:qFormat/>
    <w:rsid w:val="00ed201c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Style37" w:customStyle="1">
    <w:name w:val="Содержимое врезки"/>
    <w:basedOn w:val="Normal"/>
    <w:uiPriority w:val="99"/>
    <w:qFormat/>
    <w:rsid w:val="00ed201c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ed201c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ed201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LibreOffice/7.5.6.2$Linux_X86_64 LibreOffice_project/50$Build-2</Application>
  <AppVersion>15.0000</AppVersion>
  <Pages>12</Pages>
  <Words>2730</Words>
  <Characters>14627</Characters>
  <CharactersWithSpaces>17302</CharactersWithSpaces>
  <Paragraphs>768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2021-05-04T11:32:00Z</dcterms:created>
  <dc:creator>Гайсина И.В.</dc:creator>
  <dc:description/>
  <dc:language>ru-RU</dc:language>
  <cp:lastModifiedBy/>
  <cp:lastPrinted>2025-09-16T05:53:00Z</cp:lastPrinted>
  <dcterms:modified xsi:type="dcterms:W3CDTF">2026-02-06T11:33:06Z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