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08"/>
        <w:gridCol w:w="226"/>
        <w:gridCol w:w="995"/>
        <w:gridCol w:w="4282"/>
        <w:gridCol w:w="22"/>
      </w:tblGrid>
      <w:tr>
        <w:trPr>
          <w:trHeight w:val="1344" w:hRule="atLeast"/>
        </w:trPr>
        <w:tc>
          <w:tcPr>
            <w:tcW w:w="430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>БЮРГАНСК</w:t>
            </w:r>
            <w:r>
              <w:rPr>
                <w:rFonts w:cs="Arial" w:ascii="Arial" w:hAnsi="Arial"/>
                <w:szCs w:val="24"/>
                <w:lang w:val="tt-RU"/>
              </w:rPr>
              <w:t>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2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  <w:lang w:val="tt-RU"/>
              </w:rPr>
              <w:t>БОЕРГАН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АВЫЛ </w:t>
            </w:r>
            <w:r>
              <w:rPr>
                <w:rFonts w:cs="Arial" w:ascii="Arial" w:hAnsi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 w:ascii="Arial" w:hAnsi="Arial"/>
                <w:szCs w:val="24"/>
              </w:rPr>
              <w:t>БАШКАРМА  КОМИТЕТЫ</w:t>
            </w:r>
          </w:p>
        </w:tc>
      </w:tr>
      <w:tr>
        <w:trPr>
          <w:trHeight w:val="671" w:hRule="atLeast"/>
        </w:trPr>
        <w:tc>
          <w:tcPr>
            <w:tcW w:w="9833" w:type="dxa"/>
            <w:gridSpan w:val="5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961" w:leader="none"/>
              </w:tabs>
              <w:ind w:left="0" w:hanging="0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219075</wp:posOffset>
                      </wp:positionV>
                      <wp:extent cx="120015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2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с.Бюрганы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01.3pt;margin-top:17.25pt;width:94.4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с.Бюрганы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344" w:hRule="atLeast"/>
        </w:trPr>
        <w:tc>
          <w:tcPr>
            <w:tcW w:w="45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</w:t>
            </w:r>
          </w:p>
        </w:tc>
        <w:tc>
          <w:tcPr>
            <w:tcW w:w="5277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   </w:t>
            </w:r>
            <w:r>
              <w:rPr>
                <w:rFonts w:cs="Arial" w:ascii="Arial" w:hAnsi="Arial"/>
                <w:szCs w:val="24"/>
              </w:rPr>
              <w:t>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val="tt-RU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hd w:val="clear" w:color="auto" w:fill="FFFFFF" w:themeFill="background1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Исполнительного комитета</w:t>
      </w:r>
    </w:p>
    <w:p>
      <w:pPr>
        <w:pStyle w:val="Normal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</w:rPr>
        <w:t xml:space="preserve">Бюрганского сельского поселения                                            </w:t>
      </w:r>
      <w:r>
        <w:rPr>
          <w:rFonts w:cs="Arial" w:ascii="Arial" w:hAnsi="Arial"/>
          <w:szCs w:val="24"/>
          <w:lang w:val="tt-RU"/>
        </w:rPr>
        <w:t xml:space="preserve">   </w:t>
      </w:r>
      <w:r>
        <w:rPr>
          <w:rFonts w:cs="Arial" w:ascii="Arial" w:hAnsi="Arial"/>
          <w:szCs w:val="24"/>
          <w:lang w:val="tt-RU"/>
        </w:rPr>
        <w:t>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                                                                                                     </w:t>
      </w:r>
      <w:r>
        <w:rPr>
          <w:rFonts w:cs="Arial" w:ascii="Arial" w:hAnsi="Arial"/>
          <w:sz w:val="20"/>
        </w:rPr>
        <w:t>Приложение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 постановлению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Исполнительного комитета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hd w:fill="FFFFFF" w:val="clear"/>
        </w:rPr>
        <w:t>Бюрганского</w:t>
      </w:r>
      <w:r>
        <w:rPr>
          <w:rFonts w:cs="Arial" w:ascii="Arial" w:hAnsi="Arial"/>
          <w:sz w:val="20"/>
          <w:shd w:fill="FFFFFF" w:val="clear"/>
          <w:lang w:val="tt-RU"/>
        </w:rPr>
        <w:t xml:space="preserve"> </w:t>
      </w:r>
      <w:r>
        <w:rPr>
          <w:rFonts w:cs="Arial" w:ascii="Arial" w:hAnsi="Arial"/>
          <w:sz w:val="20"/>
        </w:rPr>
        <w:t>сельского поселения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Буинского муниципального района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Республики Татарстан от </w:t>
      </w:r>
      <w:r>
        <w:rPr>
          <w:rFonts w:cs="Arial" w:ascii="Arial" w:hAnsi="Arial"/>
          <w:sz w:val="20"/>
        </w:rPr>
        <w:t>________</w:t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Методика расчета стоимости сносимых (вырубаемых) зеленых насаждений и проведения компенсационного озеленения на территории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Общие положения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Бюрганского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2.3. При определении размера вреда (ущерба), причиненного древесно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1843"/>
        <w:gridCol w:w="3117"/>
        <w:gridCol w:w="4395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№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Зеленые насаждения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Дерево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Кустарники, лианы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= (С+Ц )xqxkl хк2 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Газоны, цветники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= (С+Ц )xSxkl хк2 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 =8хк1хк2хкцхкд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  <w:lang w:val="tt-RU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6"/>
        <w:gridCol w:w="90"/>
        <w:gridCol w:w="15"/>
        <w:gridCol w:w="1251"/>
        <w:gridCol w:w="14"/>
        <w:gridCol w:w="118"/>
        <w:gridCol w:w="23"/>
        <w:gridCol w:w="36"/>
        <w:gridCol w:w="864"/>
        <w:gridCol w:w="253"/>
        <w:gridCol w:w="39"/>
        <w:gridCol w:w="1125"/>
        <w:gridCol w:w="351"/>
        <w:gridCol w:w="1172"/>
        <w:gridCol w:w="39"/>
        <w:gridCol w:w="1558"/>
        <w:gridCol w:w="1275"/>
      </w:tblGrid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Высота дерева (Ъ), м</w:t>
            </w:r>
          </w:p>
        </w:tc>
        <w:tc>
          <w:tcPr>
            <w:tcW w:w="1055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Разряд по высоте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5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</w:t>
            </w:r>
          </w:p>
        </w:tc>
        <w:tc>
          <w:tcPr>
            <w:tcW w:w="1055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52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1200</w:t>
            </w:r>
          </w:p>
        </w:tc>
        <w:tc>
          <w:tcPr>
            <w:tcW w:w="159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от92до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от96до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041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Осина,ольха,клен,ясень,вяз,</w:t>
            </w: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-II,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Хвойныепороды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от76до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от64до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от56до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2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от18до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от28до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от32до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от36до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от40до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от44до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от48до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spacing w:lineRule="atLeast" w:line="460"/>
        <w:ind w:left="749" w:hanging="0"/>
        <w:jc w:val="right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  <w:t xml:space="preserve">Таблица2 </w:t>
      </w:r>
    </w:p>
    <w:p>
      <w:pPr>
        <w:pStyle w:val="Normal"/>
        <w:spacing w:lineRule="atLeast" w:line="460"/>
        <w:ind w:left="426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кустарниковой итравянистой</w:t>
      </w:r>
      <w:r>
        <w:rPr>
          <w:rFonts w:cs="Arial" w:ascii="Arial" w:hAnsi="Arial"/>
          <w:spacing w:val="-2"/>
          <w:szCs w:val="24"/>
        </w:rPr>
        <w:t>растительности</w:t>
      </w:r>
    </w:p>
    <w:p>
      <w:pPr>
        <w:pStyle w:val="Style2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888" w:type="dxa"/>
        <w:jc w:val="left"/>
        <w:tblInd w:w="18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44"/>
        <w:gridCol w:w="2965"/>
        <w:gridCol w:w="1843"/>
        <w:gridCol w:w="2551"/>
        <w:gridCol w:w="1985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Зеленые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Ед.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изм.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Стоимость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произведенныхработ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попосадкеиуходубез НДС (С)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1" w:hanging="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Стоимость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посадочного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материала(Ц)</w:t>
            </w:r>
          </w:p>
        </w:tc>
      </w:tr>
      <w:tr>
        <w:trPr>
          <w:trHeight w:val="254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Лиственные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Живая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изгородь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 пог.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469,43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461,6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Одиночные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руб. за1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сорными 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Газоны(спосевом семянгазонныхтрав)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74,43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Рулонный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200,0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'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Цветники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руб.за1кв.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650,0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rFonts w:ascii="Arial" w:hAnsi="Arial" w:cs="Arial"/>
          <w:spacing w:val="-10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zCs w:val="24"/>
        </w:rPr>
        <w:t> </w:t>
      </w:r>
      <w:r>
        <w:rPr>
          <w:rFonts w:cs="Arial" w:ascii="Arial" w:hAnsi="Arial"/>
          <w:spacing w:val="-10"/>
          <w:szCs w:val="24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8" w:after="0"/>
        <w:ind w:left="163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коэффициента,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сред защитные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свойства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-4"/>
          <w:szCs w:val="24"/>
        </w:rPr>
        <w:t>(kl)</w:t>
      </w:r>
    </w:p>
    <w:p>
      <w:pPr>
        <w:pStyle w:val="Style21"/>
        <w:spacing w:before="183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369" w:type="dxa"/>
        <w:jc w:val="left"/>
        <w:tblInd w:w="18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14"/>
                <w:kern w:val="0"/>
                <w:sz w:val="24"/>
                <w:szCs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общего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ограниченного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специального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7797" w:right="14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854" w:right="707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3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894"/>
        <w:gridCol w:w="4045"/>
        <w:gridCol w:w="1855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Состояние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определяется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в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зависимости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  <w:tab/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состояния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облиствленности растения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i/>
                <w:spacing w:val="-5"/>
                <w:kern w:val="0"/>
                <w:sz w:val="24"/>
                <w:szCs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Хорошее(насажденияздоровые)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100%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Среднеослабленное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90-70%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Сильноослабленное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60-40%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Угнетенное(усыхающее)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30-20%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Погибающее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20-10%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Погибшее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Листва</w:t>
            </w:r>
            <w:r>
              <w:rPr>
                <w:rFonts w:cs="Arial" w:ascii="Arial" w:hAnsi="Arial"/>
                <w:kern w:val="0"/>
                <w:sz w:val="24"/>
                <w:szCs w:val="24"/>
                <w:lang w:val="tt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отсутствует</w:t>
            </w:r>
          </w:p>
        </w:tc>
        <w:tc>
          <w:tcPr>
            <w:tcW w:w="1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8080" w:hanging="0"/>
        <w:rPr>
          <w:rFonts w:ascii="Arial" w:hAnsi="Arial" w:cs="Arial"/>
          <w:spacing w:val="-1"/>
          <w:szCs w:val="24"/>
        </w:rPr>
      </w:pPr>
      <w:r>
        <w:rPr>
          <w:rFonts w:cs="Arial" w:ascii="Arial" w:hAnsi="Arial"/>
          <w:szCs w:val="24"/>
        </w:rPr>
        <w:t>Таблица5</w:t>
      </w:r>
    </w:p>
    <w:p>
      <w:pPr>
        <w:pStyle w:val="Normal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pacing w:val="-2"/>
          <w:szCs w:val="24"/>
        </w:rPr>
        <w:t>Значение</w:t>
      </w:r>
      <w:r>
        <w:rPr>
          <w:rFonts w:cs="Arial" w:ascii="Arial" w:hAnsi="Arial"/>
          <w:szCs w:val="24"/>
        </w:rPr>
        <w:t xml:space="preserve"> коэффициента,учитывающего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ценность</w:t>
      </w:r>
      <w:r>
        <w:rPr>
          <w:rFonts w:cs="Arial" w:ascii="Arial" w:hAnsi="Arial"/>
          <w:szCs w:val="24"/>
          <w:lang w:val="tt-RU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-4"/>
          <w:szCs w:val="24"/>
        </w:rPr>
        <w:t>(кц)</w:t>
      </w:r>
    </w:p>
    <w:p>
      <w:pPr>
        <w:pStyle w:val="Style21"/>
        <w:spacing w:before="50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3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15"/>
        <w:gridCol w:w="5927"/>
        <w:gridCol w:w="1852"/>
      </w:tblGrid>
      <w:tr>
        <w:trPr>
          <w:trHeight w:val="253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Видыдеревьеви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1-аягруппа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(особоценные)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всевидыхвойных,вечнозеленыхдеревьев,втом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рядвидовлиственныхдеревьев,втомчисле: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ясень,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ольха,вяз,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ильм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2-ягруппа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всевидыхвойных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рядвидовлиственныхдеревьев,втомчисле:липа, береза, клен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я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групп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а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-остальныевидыдеревьевилиственные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кустарники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поступлений от иных источников.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посадочных мест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подсев семян газонных трав.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>
    <w:name w:val="Символ сноски"/>
    <w:qFormat/>
    <w:rsid w:val="00b2726f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sid w:val="00b2726f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rsid w:val="00b2726f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rsid w:val="00b2726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rsid w:val="00b2726f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rsid w:val="00b2726f"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</w:rPr>
  </w:style>
  <w:style w:type="paragraph" w:styleId="Style26" w:customStyle="1">
    <w:name w:val="Колонтитул"/>
    <w:basedOn w:val="Normal"/>
    <w:qFormat/>
    <w:rsid w:val="00b2726f"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rsid w:val="00b2726f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3B3F-3EC2-497A-84A9-CEE0579A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10</Pages>
  <Words>2136</Words>
  <Characters>14430</Characters>
  <CharactersWithSpaces>15999</CharactersWithSpaces>
  <Paragraphs>765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2026-02-05T12:00:00Z</dcterms:created>
  <dc:creator>Guzel</dc:creator>
  <dc:description/>
  <dc:language>ru-RU</dc:language>
  <cp:lastModifiedBy/>
  <cp:lastPrinted>2026-02-05T12:20:00Z</cp:lastPrinted>
  <dcterms:modified xsi:type="dcterms:W3CDTF">2026-02-06T11:15:29Z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