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8"/>
          <w:lang w:eastAsia="ru-RU"/>
        </w:rPr>
      </w:r>
    </w:p>
    <w:tbl>
      <w:tblPr>
        <w:tblW w:w="5954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954"/>
      </w:tblGrid>
      <w:tr>
        <w:trPr>
          <w:trHeight w:val="254" w:hRule="atLeast"/>
          <w:cantSplit w:val="true"/>
        </w:trPr>
        <w:tc>
          <w:tcPr>
            <w:tcW w:w="59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Об утверждении муниципальной программы «Реализация государственной национальной политики в Буинском  муниципальном районе на 2026 - 2028 годы»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eastAsia="Times New Roman" w:cs="Times New Roman" w:ascii="Times New Roman" w:hAnsi="Times New Roman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eastAsia="Times New Roman" w:cs="Times New Roman" w:ascii="Times New Roman" w:hAnsi="Times New Roman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Во исполнение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</w:rPr>
        <w:t>Стратегии государственной национальной политики Российской Федерации на период до 2036 года, утвержденная Указом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года»,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Указ Президента Российской Федерации от 15.10.2025 № 738 «О Концепции государственной миграционной политики Российской Федерации на 2026 - 2030 годы» Исполнительный комитет Буинского муниципального района постановляет: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Утвердить прилагаемую Муниципальную </w:t>
      </w:r>
      <w:hyperlink w:anchor="Par31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программу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«Реализация государственной национальной политики в Буинском муниципальном районе на  2026 - 2028 годы» (далее - Программа).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Определить муниципальным заказчиком - координатором </w:t>
      </w:r>
      <w:hyperlink w:anchor="Par31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Исполнительный комитет Буинского муниципального района.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МКУ «Финансово-бюджетная палата Буинского муниципального района» обеспечить финансирование мероприятий Программы.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Постановление исполнительного комитета Буинского  муниципального района от </w:t>
      </w:r>
      <w:r>
        <w:rPr>
          <w:rFonts w:cs="Times New Roman" w:ascii="Times New Roman" w:hAnsi="Times New Roman"/>
          <w:sz w:val="28"/>
          <w:szCs w:val="28"/>
        </w:rPr>
        <w:t xml:space="preserve">13 декабря 2024 года №364/ик-п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«Об утверждении муниципальной программы «Реализация государственной национальной политики в Буинском муниципальном районе на </w:t>
      </w:r>
      <w:r>
        <w:rPr>
          <w:rFonts w:cs="Times New Roman" w:ascii="Times New Roman" w:hAnsi="Times New Roman"/>
          <w:sz w:val="28"/>
          <w:szCs w:val="28"/>
        </w:rPr>
        <w:t xml:space="preserve">2023-2027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годы», признать утратившим силу.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с 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1 января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2026 года.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(http://pravo.tatarstan.ru/) и обнародовать путем размещения на официальном сайте Буинского  муниципального района Республики Татарстан(</w:t>
      </w:r>
      <w:hyperlink r:id="rId2">
        <w:r>
          <w:rPr>
            <w:rFonts w:eastAsia="Times New Roman" w:cs="Times New Roman" w:ascii="Times New Roman" w:hAnsi="Times New Roman"/>
            <w:color w:val="0E0EDA"/>
            <w:sz w:val="26"/>
            <w:szCs w:val="26"/>
            <w:lang w:eastAsia="ru-RU"/>
          </w:rPr>
          <w:t>http://buinsk.tatarstan.ru</w:t>
        </w:r>
      </w:hyperlink>
      <w:r>
        <w:rPr>
          <w:rFonts w:eastAsia="Times New Roman" w:cs="Times New Roman" w:ascii="Times New Roman" w:hAnsi="Times New Roman"/>
          <w:color w:val="0E0EDA"/>
          <w:sz w:val="26"/>
          <w:szCs w:val="26"/>
          <w:lang w:eastAsia="ru-RU"/>
        </w:rPr>
        <w:t>)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Контроль за исполнением данного постановления возложить на заместителя  руководителя исполнительного комитета Буинского муниципального района </w:t>
      </w:r>
      <w:r>
        <w:rPr>
          <w:rFonts w:cs="Times New Roman" w:ascii="Times New Roman" w:hAnsi="Times New Roman"/>
          <w:sz w:val="28"/>
          <w:szCs w:val="28"/>
        </w:rPr>
        <w:t>Л.Н.Садретдинову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cs="Times New Roman" w:ascii="Times New Roman" w:hAnsi="Times New Roman"/>
          <w:color w:val="000000" w:themeColor="text1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cs="Times New Roman" w:ascii="Times New Roman" w:hAnsi="Times New Roman"/>
          <w:color w:val="000000" w:themeColor="text1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cs="Times New Roman" w:ascii="Times New Roman" w:hAnsi="Times New Roman"/>
          <w:color w:val="000000" w:themeColor="text1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Исполнительного комитета  </w:t>
        <w:tab/>
        <w:t xml:space="preserve">              </w:t>
        <w:tab/>
        <w:t xml:space="preserve">                               </w:t>
        <w:tab/>
      </w:r>
      <w:bookmarkStart w:id="0" w:name="Par31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Л.Р.Шакирзянов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Style w:val="1"/>
        <w:tblpPr w:bottomFromText="0" w:horzAnchor="margin" w:leftFromText="180" w:rightFromText="180" w:tblpX="0" w:tblpY="203" w:topFromText="0" w:vertAnchor="text"/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58"/>
        <w:gridCol w:w="4506"/>
      </w:tblGrid>
      <w:tr>
        <w:trPr>
          <w:trHeight w:val="1135" w:hRule="atLeast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left="175" w:right="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left="-30" w:right="0" w:hanging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УТВЕРЖДЕНА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left="-30" w:right="0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left="-30" w:right="0" w:hanging="0"/>
              <w:jc w:val="left"/>
              <w:rPr>
                <w:sz w:val="28"/>
                <w:szCs w:val="28"/>
                <w:lang w:val="tt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исполнительного комитета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left="-30" w:right="0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Буинского 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40" w:before="0" w:after="0"/>
              <w:ind w:left="-30" w:right="0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«___» ________2026 г. № ____/ик-п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Calibri"/>
          <w:sz w:val="10"/>
          <w:szCs w:val="28"/>
        </w:rPr>
      </w:pPr>
      <w:r>
        <w:rPr>
          <w:rFonts w:eastAsia="Times New Roman" w:cs="Calibri" w:ascii="Times New Roman" w:hAnsi="Times New Roman"/>
          <w:sz w:val="10"/>
          <w:szCs w:val="28"/>
        </w:rPr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jc w:val="right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eastAsia="Times New Roman" w:cs="Calibri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«Реализация государственной национальной политики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Буинском  муниципальном районе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2026 - 2028 годы»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37"/>
        <w:gridCol w:w="7627"/>
      </w:tblGrid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Муниципальная программа «Реализация государственной национальной политики в Буинском  муниципальном районе на 2026 – 2028 годы»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">
              <w:r>
                <w:rPr>
                  <w:rFonts w:cs="Times New Roman" w:ascii="Times New Roman" w:hAnsi="Times New Roman"/>
                  <w:sz w:val="28"/>
                  <w:szCs w:val="28"/>
                </w:rPr>
                <w:t>Основания для разработки Программы</w:t>
              </w:r>
            </w:hyperlink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Стратегия государственной национальной политики Российской Федерации на период до 2036 года, утвержденная Указом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года», Указ Президента Российской Федерации от 15.10.2025 № 738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«О Концепции государственной миграционной политики Российской Федерации на 2026 - 2030 годы», Федеральный закон от 20.03.2025 N 33-ФЗ «Об общих принципах организации местного самоуправления в Российской Федерации», Государственная Программа «Реализация государственной национальной политики в Республике Татарстан на 2024-2026 годы» (с изменениями на 3 ноября 2025 года №900) от 18 декабря 2023 года №1006» Государственная </w:t>
            </w:r>
            <w:hyperlink r:id="rId4">
              <w:r>
                <w:rPr>
                  <w:rFonts w:cs="Times New Roman" w:ascii="Times New Roman" w:hAnsi="Times New Roman"/>
                  <w:color w:val="000000" w:themeColor="text1"/>
                  <w:sz w:val="28"/>
                  <w:szCs w:val="28"/>
                </w:rPr>
                <w:t>программа</w:t>
              </w:r>
            </w:hyperlink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«Сохранение, изучение и развитие государственных языков Республики Татарстан и других языков Республики Татарстан на 2023 – 2030» утвержденная постановлением Кабинета Министров от 10.09.2020 от №821.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>
              <w:r>
                <w:rPr>
                  <w:rFonts w:cs="Times New Roman" w:ascii="Times New Roman" w:hAnsi="Times New Roman"/>
                  <w:color w:val="000000" w:themeColor="text1"/>
                  <w:sz w:val="28"/>
                  <w:szCs w:val="28"/>
                </w:rPr>
                <w:t>Указ</w:t>
              </w:r>
            </w:hyperlink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Президента Республики Татарстан от 26.07.2013 №УП-695 «О Концепции государственной национальной политики в Республике Татарстан».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cs="Times New Roman" w:ascii="Times New Roman" w:hAnsi="Times New Roman"/>
                  <w:color w:val="000000" w:themeColor="text1"/>
                  <w:sz w:val="28"/>
                  <w:szCs w:val="28"/>
                </w:rPr>
                <w:t>Постановление</w:t>
              </w:r>
            </w:hyperlink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Кабинета Министров Республики Татарстан от 18.12.2013 №1006 «Об утверждении Государственной программы «Реализация государственной национальной политики в Республике Татарстан» (с изменениями на 03 ноября 2025 года)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«Управление культуры»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Буинского муниципального района,</w:t>
            </w:r>
            <w:r>
              <w:rPr>
                <w:rFonts w:cs="Times New Roman" w:ascii="Times New Roman" w:hAnsi="Times New Roman"/>
                <w:sz w:val="28"/>
              </w:rPr>
              <w:t xml:space="preserve"> МКУ «Управление образования Буинского муниципального района»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Исполнители основных мероприятий Программы (по согласованию)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Исполнительный комитет Буинского муниципального района, </w:t>
            </w:r>
            <w:r>
              <w:rPr>
                <w:rFonts w:cs="Times New Roman" w:ascii="Times New Roman" w:hAnsi="Times New Roman"/>
                <w:sz w:val="28"/>
              </w:rPr>
              <w:t xml:space="preserve">МКУ «Финансово-бюджетная палата Буинского муниципального района»,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МКУ «Управление культуры Буинского муниципального района», МКУ «Управление образования Буинского муниципального района», </w:t>
            </w:r>
            <w:r>
              <w:rPr>
                <w:rFonts w:cs="Times New Roman" w:ascii="Times New Roman" w:hAnsi="Times New Roman"/>
                <w:sz w:val="28"/>
                <w:szCs w:val="28"/>
                <w:lang w:val="tt-RU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чреждения </w:t>
            </w:r>
            <w:r>
              <w:rPr>
                <w:rFonts w:cs="Times New Roman" w:ascii="Times New Roman" w:hAnsi="Times New Roman"/>
                <w:sz w:val="28"/>
                <w:szCs w:val="28"/>
                <w:lang w:val="tt-RU"/>
              </w:rPr>
              <w:t>культуры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образовательные организации, учреждения дополнительного образования, сельские поселения, отделение по вопросам миграции ОМВД России по Буинскому району, отдел по делам молодежи, спорту и туризму (далее ОДМСиТ), редакция газеты «Байрак» («Знамя»), ГУ «Телерадиокомпания «Буа дулкыннары».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а) укрепление национального согласия, обеспечение политической и социальной стабильности, развитие демократических институтов;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б) укрепление общероссийской гражданской идентичности и единства многонационального народа Российской Федерации (российской нации);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в) 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г) 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д) гармонизация межнациональных (межэтнических) отношений;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е) успешная социальная и культурная адаптация иностранных граждан в Российской Федерации и их интеграция в российское общество.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беспечение равноправия граждан и реализации их конституционных прав;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б)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Содействие национально-культурному развитию представителей народов, проживающих на территории Буинского  муниципального района, и укрепление общероссийской гражданской идентичности;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в)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Буинского  муниципального района;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г)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Создание условий и поддержка межэтнического и межконфессионального мира и согласия, социокультурной адаптации и интеграции мигрантов;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д)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Оказание помощи в создании условий для сохранения и развития национальной идентичности татарского народа за пределами республики и района;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е)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Создание условий для сохранения, изучения и развития татарского, русского и других языков в Буинском  муниципальном районе;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ж)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Научно - образовательное и информационное обеспечение реализации государственной национальной политики в  Буинском муниципальном районе;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з)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У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частие в республиканских, всероссийских, международных конкурсах и фестивалях в рамках исполнения задач, поставленных Программой.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нформационное обеспечение реализации государственной национальной политики Российской Федерации;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2026 - 2028 год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Финансирование программы осуществляется за счет текущих средств бюджета Буинского муниципального района Республики Татарстан</w:t>
            </w:r>
          </w:p>
          <w:tbl>
            <w:tblPr>
              <w:tblW w:w="6850" w:type="dxa"/>
              <w:jc w:val="left"/>
              <w:tblInd w:w="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13"/>
              <w:gridCol w:w="985"/>
              <w:gridCol w:w="985"/>
              <w:gridCol w:w="988"/>
              <w:gridCol w:w="1579"/>
            </w:tblGrid>
            <w:tr>
              <w:trPr>
                <w:trHeight w:val="533" w:hRule="atLeast"/>
              </w:trPr>
              <w:tc>
                <w:tcPr>
                  <w:tcW w:w="23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8"/>
                      <w:szCs w:val="28"/>
                    </w:rPr>
                    <w:t>Источники финансирования</w:t>
                  </w:r>
                </w:p>
              </w:tc>
              <w:tc>
                <w:tcPr>
                  <w:tcW w:w="985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985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988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579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231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8"/>
                      <w:szCs w:val="28"/>
                    </w:rPr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2027год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Всего</w:t>
                  </w:r>
                </w:p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за период реализации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Муниципальный бюджет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995,0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995,0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995,0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2985,0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Республиканский бюджет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Прочие источники (внебюджет)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2000,0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2000,0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2000,0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6000,0</w:t>
                  </w:r>
                </w:p>
              </w:tc>
            </w:tr>
            <w:tr>
              <w:trPr>
                <w:trHeight w:val="456" w:hRule="atLeast"/>
              </w:trPr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ind w:left="-264" w:firstLine="26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2995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2995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2995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Autospacing="1" w:after="0"/>
                    <w:ind w:right="-111" w:hanging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8985,0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Примечание: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района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Ожидаемые конечные результаты реализации Программы (индикаторы оценки результатов Программы) и показатели ее бюджетной эффективности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Индикаторы Программы: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Увеличение доли жителей Буинского муниципального района, положительно оценивающих состояние межэтнических отношений в районе (определяется по результатам репрезентативного опроса):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г. - 85 процента;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г. - 86 процента;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2028 г. – 87 процента;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Увеличение доли жителей Буинского муниципального района, положительно оценивающих состояние межконфессиональных отношений в районе (определяется по результатам репрезентативного опроса):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г. - 89 процентов;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г. - 90 процентов;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2028 г. – 93 процентов;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Увеличение доли жителей Буинского  муниципального района, удовлетворенных реализацией своих этнокультурных потребностей (определяется по результатам репрезентативного опроса):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г. - 83 процентов;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г. - 84 процентов;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2028 г. – 85 процентов;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Общая характеристика сферы реализации Программы,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том числе проблемы, на решение которых она направлена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Муниципальная программа «Реализация государственной национальной политики в Буинском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муниципальном районе на 2026 - 2028 годы» разработана на основании Стратегии государственной национальной политики Российской Федерации на период до 2036 года, утвержденная Указом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года», Указом Президента Российской Федерации от 15.10.2025 № 738 «О Концепции государственной миграционной политики Российской Федерации на 2026 - 2030 годы»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cs="Times New Roman" w:ascii="Times New Roman" w:hAnsi="Times New Roman"/>
          <w:color w:val="000000" w:themeColor="text1"/>
          <w:sz w:val="28"/>
          <w:szCs w:val="28"/>
        </w:rPr>
        <w:t>Программа разработана с учетом предложений территориальных органов государственной власти, органов местного самоуправления Буинского муниципального района, отделов Исполнительного комитета Буинского  муниципального района, учреждений культуры, образовательных учреждений и общественных организаций.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Согласно </w:t>
      </w:r>
      <w:hyperlink r:id="rId7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Концепции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государственной национальной политики Республики Татарстан, объектом государственной национальной политики является сфера межнациональных отношений и этнокультурного развития представителей народов, проживающих в Республике Татарстан.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Опираясь на принципы </w:t>
      </w:r>
      <w:hyperlink r:id="rId8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Концепции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государственной национальной политики Республики Татарстан, Программа определяет цели, принципы, основные направления, задачи и механизмы реализации государственной национальной политики в Буинском муниципальном районе Республики Татарстан в сфере межнациональных отношений, в созд</w:t>
      </w:r>
      <w:r>
        <w:rPr>
          <w:rFonts w:cs="Times New Roman" w:ascii="Times New Roman" w:hAnsi="Times New Roman"/>
          <w:sz w:val="28"/>
          <w:szCs w:val="28"/>
        </w:rPr>
        <w:t>ании оптимальных условий для удовлетворения этнокультурных потребностей представителей народов, проживающих в районе. Опирается на осознание исторических традиций представителей народов, проживающих в Буинском муниципальном районе Республики Татарстан, природно-климатических и естественно-экономических условий, социально-культурных особенностей их жизни, геополитического и национального окружения, опыта взаимоотношений с соседями.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Исторически сложилось, что ведущую роль в обеспечение позитивного межнационального (межэтнического) и межконфессионального взаимодействия традиционно играют представители татарского, русского, чувашского народов, составляющие большинство по отношению к представителям всех остальных народов, проживающих в Буинском муниципальном районе Республики Татарстан.</w:t>
      </w:r>
    </w:p>
    <w:p>
      <w:pPr>
        <w:pStyle w:val="Normal"/>
        <w:widowControl w:val="false"/>
        <w:overflowPunct w:val="false"/>
        <w:spacing w:lineRule="auto" w:line="240" w:before="0" w:after="0"/>
        <w:ind w:right="-1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Буинском муниципальном районе на 01.01. 202</w:t>
      </w:r>
      <w:r>
        <w:rPr>
          <w:rFonts w:cs="Times New Roman" w:ascii="Times New Roman" w:hAnsi="Times New Roman"/>
          <w:sz w:val="28"/>
          <w:szCs w:val="28"/>
          <w:lang w:val="tt-RU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численность населения составляла </w:t>
      </w:r>
      <w:r>
        <w:rPr>
          <w:rFonts w:cs="Times New Roman" w:ascii="Times New Roman" w:hAnsi="Times New Roman"/>
          <w:color w:val="FF0000"/>
          <w:sz w:val="28"/>
          <w:szCs w:val="28"/>
        </w:rPr>
        <w:t>38721</w:t>
      </w:r>
      <w:r>
        <w:rPr>
          <w:rFonts w:cs="Times New Roman" w:ascii="Times New Roman" w:hAnsi="Times New Roman"/>
          <w:sz w:val="28"/>
          <w:szCs w:val="28"/>
        </w:rPr>
        <w:t xml:space="preserve"> человек, из которых татар – 25170 (65%), русских – 7356(19%),чуваш-6195(16%).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Буинском муниципальном районе, как и во всей республике, динамично меняется национальный состав населения - в городском и сельских муниципальных поселениях появляются новые этнические группы выходцев из бывших союзных республик (азербайджанцев, армян, узбеков, таджиков, казахов, киргизов, грузин, молдаван, туркмен).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За 2025 год на миграционный учет в Буинском муниципальном районе поставлено 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???</w:t>
      </w:r>
      <w:r>
        <w:rPr>
          <w:rFonts w:cs="Times New Roman" w:ascii="Times New Roman" w:hAnsi="Times New Roman"/>
          <w:sz w:val="28"/>
          <w:szCs w:val="28"/>
        </w:rPr>
        <w:t xml:space="preserve"> временно пребывающий гражданин и лицо без гражданства, из них </w:t>
      </w:r>
      <w:r>
        <w:rPr>
          <w:rFonts w:cs="Times New Roman" w:ascii="Times New Roman" w:hAnsi="Times New Roman"/>
          <w:color w:val="FF0000"/>
          <w:sz w:val="28"/>
          <w:szCs w:val="28"/>
        </w:rPr>
        <w:t>?</w:t>
      </w:r>
      <w:r>
        <w:rPr>
          <w:rFonts w:cs="Times New Roman" w:ascii="Times New Roman" w:hAnsi="Times New Roman"/>
          <w:sz w:val="28"/>
          <w:szCs w:val="28"/>
        </w:rPr>
        <w:t xml:space="preserve"> первично.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виду на жительство в Буинском районе проживает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?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иностранных граждан и лиц без гражданства. По разрешениям на временное проживание проживает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?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иностранных гражданина и ЛБГ. В текущем году приобрели гражданство РФ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?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человек.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информации прокуратуры, ОВД и ОМС, оперативная обстановка в районе, связанная с пребыванием на его территории иностранных граждан, стабильная и не оказывает влияния на криминогенную обстановку. За отчетный период иностранными гражданами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в Буинском районе преступлений не совершено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Тем не менее, с целью противодействия нелегальной миграции и незаконной деятельности иностранных граждан проводятся контрольно-надзорные мероприятия.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За 2025 год проведено ? проверочных мероприятий. За нарушения законов в области миграции (ст.18.8 – 18.20 КоАП РФ) составлено ? административных протоколов.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Общее кол-во религиозных организаций в Буинском  муниципальном районе в разрезе конфессий (количество; доля в %):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ислам - ? (? %), православие</w:t>
      </w:r>
      <w:r>
        <w:rPr>
          <w:rFonts w:eastAsia="Times New Roman" w:cs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- ? (?%), иные конфессии отсутствуют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C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обрания имамов района в центральной мечети г.Буинска проходят с участием администрации района, сотрудников прокуратуры и отдела МВД России по Буинскому району. На собраниях проводится подробный анализ этноконфессиональной обстановки в районе, рассматриваются проблемные вопросы мечетей. Религиозная и межнациональная ситуация в Буинском  муниципальном районе стабильная, конфликтных ситуаций и проблем не возникало.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Вопросы по межнациональным и межконфессиональным отношениям рассматриваются в плановом порядке на заседаниях Общественного Совета района, Буинского районного Совета, постоянных комиссий, рабочих совещаниях с участием представителей органов прокуратуры, правоохранительных органов, отделения по вопросам миграции ОМВД России по Буинскому району, отдела ЗАГС, СМИ, религиозных организаций. Органами местного самоуправления сельских поселений района ведется совместная работа с участковыми полиции по обеспечению контроля прибывших на территорию сельских поселений иностранных граждан, фактического их проживания по адресам регистрации, обследуются пустующие и бесхозяйные дома, помещения, а также объекты социально-культурной сферы; постоянно проводится сверка с УФМС России по Буинскому району по прибывшим и выбывшим иностранным гражданам.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Анализ оперативной обстановки противодействия терроризму и экстремизму за 2025 год свидетельствует, что принятые органами местного самоуправления и правоохранительными органами Буинского муниципального района профилактические, оперативные и организационные меры позволили сохранить тенденцию стабилизации оперативной обстановки и не допустить на территории района преступлений террористического и экстремистского характера. Общественно-политическую, социально-экономическую и криминогенную обстановку на территории района можно охарактеризовать как стабильную. Случаев массовых протестных выступлений не было, конфликтных ситуаций и проблем не возникало.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базе Муниципального бюджетного учреждения  «Центр культурного развития» функционирует Дом дружбы народов, который  стал единым пространством для культурного обмена, расширения межнационального сотрудничества между национально-культурными автономиями Буинского района.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Активное участие в реализации государственной национальной политики принимают творческие коллективы, действующие при учреждениях культуры: татарский фольклорный коллектив «Гөлҗамал»,народный ансамбль песни и танца «Лейсан»,</w:t>
        <w:tab/>
        <w:t xml:space="preserve">хор ветеранов «Родник»,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молодежный чувашский ансамбль «Каскад»,</w:t>
        <w:tab/>
        <w:t xml:space="preserve">народный ансамбль русской песни «Рябинушка», </w:t>
        <w:tab/>
        <w:t xml:space="preserve">народный чувашский фольклорный коллектив «Уяв», народный фольклорный ансамбль «Сюембикэ», народный чувашский фольклорный ансамбль «Туслах»  и другие. Творчество коллективов направлено прежде всего на пропаганду родного языка, возрождение национальных традиций и обрядов, содействие национально-культурному развитию народов, проживающих на территории района.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Указом Президента Республики Татарстан от 26.07.2013 №УП-695 «О Концепции государственной национальной политики в Республике Татарстан» определены приоритетные вопросы в данной области на современном этапе.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Настоящая Программа нацелена на сохранение позитивного характера межнациональных и межконфессиональных отношений в Буинском  муниципальном районе Республики Татарстан.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план Программы включены организационные, культурно-массовые и образовательные мероприятия, содействующие удовлетворению этнокультурных потребностей граждан на основе сложившихся многовековых традиций взаимоуважения и добрососедства.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Основные цели, задачи, сроки и этапы ее реализации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и задачи Программы обусловлены приоритетными направлениями, которые определены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Стратегией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19.12.2012 №1666, Государственной программой «Реализация государственной национальной политики в Республике Татарстан», утвержденной Постановлением Кабинета Министров Республики Татарстан от 18.12.2013 №1006 (с изменениями на 03 ноября 2025 года), федеральными и региональными законами и нормативными правовыми актами, затрагивающими сферу государственной национальной политики в Республике Татарстан.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Программы: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государственной национальной политики в Буинском муниципальном районе, цивилизованное развитие представителей народов, проживающих на территории Буинского муниципального района,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социальная и культурная адаптация и интеграция мигрантов.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 Программы: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Содействие национально-культурному развитию представителей народов, проживающих на территории Буинского  муниципального района, и укрепление общероссийской гражданской идентичности;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Республике Татарстан и непосредственно на территории Буинского муниципального района;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Создание условий и поддержка межэтнического и межконфессионального мира и согласия, социокультурной адаптации и интеграции мигрантов;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Оказание помощи в создании условий для сохранения и развития национальной идентичности татарского народа за пределами республики и района;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Создание условий для сохранения, изучения и развития татарского, русского, чувашского  и других языков в Буинском  муниципальном районе;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Научно-образовательное и информационное обеспечение реализации государственной национальной политики в Буинском муниципальном районе.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 реализации Программы: 2026 - 2028 годы. Этапы реализации не выделяются. Данные об индикаторах оценки результатов в разрезе </w:t>
      </w:r>
      <w:hyperlink w:anchor="Par137">
        <w:r>
          <w:rPr>
            <w:rFonts w:cs="Times New Roman" w:ascii="Times New Roman" w:hAnsi="Times New Roman"/>
            <w:sz w:val="28"/>
            <w:szCs w:val="28"/>
          </w:rPr>
          <w:t>целей</w:t>
        </w:r>
      </w:hyperlink>
      <w:r>
        <w:rPr>
          <w:rFonts w:cs="Times New Roman" w:ascii="Times New Roman" w:hAnsi="Times New Roman"/>
          <w:sz w:val="28"/>
          <w:szCs w:val="28"/>
        </w:rPr>
        <w:t>, задач, мероприятий Программы приводятся в приложении к ней.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Обоснование ресурсного обеспечения Программы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Финансирование программы осуществляется за счет средств бюджета Буинского  муниципального района Республики Татарстан.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Механизм реализации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реализации мероприятий Программы заказчик-координатор в лице Исполнительного комитета Буинского  муниципального района обеспечивает взаимодействие основных исполнителей, контроль за ходом реализации мероприятий и эффективным использованием средств исполнителями. Мероприятия Программы реализуются на основе муниципальных контрактов, осуществляемых муниципальным заказчиком Программы со всеми исполнителями программных мероприятий.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Муниципальные учреждения и организации, участвующие в реализации Программы, представляют в Исполнительный комитет Буинского  муниципального Республики Татарстан информацию о ее выполнении ежеквартально, до 10 числа месяца, следующего за отчетным кварталом.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Описание социально-экономической эффективности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результаты в этнокультурной сфере выражаются, как правило, в отложенном по времени социальном эффекте, в частности, в росте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развития Буинского  муниципального района РТ.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Буинском муниципальном  районе, и выражается: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улучшении этнокультурного и социального самочувствия;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укреплении региональной и общероссийской гражданской идентичности;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росте эффективности использования этнокультурного потенциала;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предотвращении межнациональных конфликтов.</w:t>
      </w:r>
    </w:p>
    <w:p>
      <w:pPr>
        <w:sectPr>
          <w:type w:val="nextPage"/>
          <w:pgSz w:w="11906" w:h="16838"/>
          <w:pgMar w:left="1134" w:right="706" w:gutter="0" w:header="0" w:top="993" w:footer="0" w:bottom="709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Программы обеспечит позитивное межнациональное (межэтническое) и межконфессиональное взаимодействие представителей народов, проживающих в Буинском  муниципальном районе Республики Татарстан, профилактику и предотвращение конфликтов на этнической и конфессиональной почве, создание условий для адаптации мигрантов.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План мероприятий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муниципальной программы «Реализация государственной национальной политики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Буинском муниципальном районе на 2026 - 2028 годы»</w:t>
      </w:r>
    </w:p>
    <w:tbl>
      <w:tblPr>
        <w:tblStyle w:val="11"/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72"/>
        <w:gridCol w:w="14"/>
        <w:gridCol w:w="19"/>
        <w:gridCol w:w="1518"/>
        <w:gridCol w:w="16"/>
        <w:gridCol w:w="25"/>
        <w:gridCol w:w="1090"/>
        <w:gridCol w:w="17"/>
        <w:gridCol w:w="26"/>
        <w:gridCol w:w="2365"/>
        <w:gridCol w:w="14"/>
        <w:gridCol w:w="23"/>
        <w:gridCol w:w="6"/>
        <w:gridCol w:w="948"/>
        <w:gridCol w:w="30"/>
        <w:gridCol w:w="13"/>
        <w:gridCol w:w="949"/>
        <w:gridCol w:w="31"/>
        <w:gridCol w:w="11"/>
        <w:gridCol w:w="805"/>
        <w:gridCol w:w="35"/>
        <w:gridCol w:w="7"/>
        <w:gridCol w:w="10"/>
        <w:gridCol w:w="987"/>
        <w:gridCol w:w="860"/>
        <w:gridCol w:w="990"/>
      </w:tblGrid>
      <w:tr>
        <w:trPr/>
        <w:tc>
          <w:tcPr>
            <w:tcW w:w="347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мероприятий</w:t>
            </w:r>
          </w:p>
        </w:tc>
        <w:tc>
          <w:tcPr>
            <w:tcW w:w="1551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Исполнители</w:t>
            </w:r>
          </w:p>
        </w:tc>
        <w:tc>
          <w:tcPr>
            <w:tcW w:w="1131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Сроки реализация</w:t>
            </w:r>
          </w:p>
        </w:tc>
        <w:tc>
          <w:tcPr>
            <w:tcW w:w="240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Индикаторы оценки конечных результатов, единицы измерения</w:t>
            </w:r>
          </w:p>
        </w:tc>
        <w:tc>
          <w:tcPr>
            <w:tcW w:w="2830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Значение индикаторов</w:t>
            </w:r>
          </w:p>
        </w:tc>
        <w:tc>
          <w:tcPr>
            <w:tcW w:w="2889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Объем финансирования с указанием источника, тыс. рублей</w:t>
            </w:r>
          </w:p>
        </w:tc>
      </w:tr>
      <w:tr>
        <w:trPr/>
        <w:tc>
          <w:tcPr>
            <w:tcW w:w="347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5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13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0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2026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2027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2028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2026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2027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2028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5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6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7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8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9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t-RU" w:eastAsia="en-US" w:bidi="ar-SA"/>
              </w:rPr>
              <w:t>10</w:t>
            </w:r>
          </w:p>
        </w:tc>
      </w:tr>
      <w:tr>
        <w:trPr/>
        <w:tc>
          <w:tcPr>
            <w:tcW w:w="14281" w:type="dxa"/>
            <w:gridSpan w:val="26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задачи: 1.Содействие национально-культурному развитию представителей народов. Проживающих в Буинском муниципальном районе и укрепление общероссийской гражданской идентичности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76" w:before="0" w:after="200"/>
              <w:ind w:left="0" w:right="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Организация и проведение комплекса ежегодных мероприятий, посвященных празднованию Дня родного языка (26 апреля)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Культуры», МКУ «Управление Образования»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 и зрителей, (человек)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800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820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850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9,0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9,0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9,0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76" w:before="0" w:after="200"/>
              <w:ind w:left="0" w:right="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Проведение праздника тюрских народов «Навруз», «Карга боткасы»,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>Каз өмәсе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>Аулак өйдә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>Сөмбелә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«Дни села», праздники улиц.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Агитбригады, театрализованные представления, тематические программы и развлекательные программы на русском и татарском, чувашском языках, турниры по национальной борьбе, отражающие темы укрепления гражданского единства на территории Буинского  муниципального района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Культуры», МКУ «Управление Образования»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 и зрителей, (человек)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1500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1500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1500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1.3 Участие в Республиканских научно-практических конференциях и конкурс акциях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.Научно-практическая конференция «Сохранение и развитие народных языков и культур»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Культуры», МКУ «Управление Образования»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 и зрителей, (человек)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1500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1500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1500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1.4. Проведение праздников народов, проживающих в Республике Татарстан: «Сабантуй», «Акатуй»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 и зрителей, (человек)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15500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15500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1550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вне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вне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вне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1.5. Участие во Всероссийском фестивале татарского фольклора «Түгәрәк уен»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 и зрителей, (человек)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55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60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1.6. Участие в Международном телевизионном конкурсе молодых исполнителей «Татар моңы»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25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30,0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30,0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30,0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1.7. Проведение Республиканского конкурса исполнителей чувашской песни «Чувашский соловей»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475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475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475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1.8. Участие в Региональных фестивалях, в зональных фестивалях «Созвезие-Йолдызлык», «Балкыш», «Каравон», творческие отчеты, посвященные Великой Победе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3750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3800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3850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200,0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200,0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200,0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Цикл мероприятий правовой школы для подростков «Наш общий дом – Татарстан»: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лекции по профилактике экстремизма и правонарушений в сфере межнациональных отношений;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тематические программы;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торжественные мероприятия по вручению паспортов. Цикл мероприятий, посвященных Международному дню толерантности в учреждениях культуры и образовательных организациях района.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Культуры», МКУ «Управление Образования»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575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575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575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38,0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38,0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38,0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1.10. Спектакли народного театра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4200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4200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4200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50,0 местный бюджет</w:t>
            </w:r>
          </w:p>
        </w:tc>
      </w:tr>
      <w:tr>
        <w:trPr/>
        <w:tc>
          <w:tcPr>
            <w:tcW w:w="3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1.11. Региональный фестиваль</w:t>
            </w:r>
          </w:p>
        </w:tc>
        <w:tc>
          <w:tcPr>
            <w:tcW w:w="15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Культуры»</w:t>
            </w:r>
          </w:p>
        </w:tc>
        <w:tc>
          <w:tcPr>
            <w:tcW w:w="11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99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2750</w:t>
            </w:r>
          </w:p>
        </w:tc>
        <w:tc>
          <w:tcPr>
            <w:tcW w:w="9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2750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2750</w:t>
            </w:r>
          </w:p>
        </w:tc>
        <w:tc>
          <w:tcPr>
            <w:tcW w:w="10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150,0 местный бюджет</w:t>
            </w:r>
          </w:p>
        </w:tc>
      </w:tr>
      <w:tr>
        <w:trPr/>
        <w:tc>
          <w:tcPr>
            <w:tcW w:w="11427" w:type="dxa"/>
            <w:gridSpan w:val="21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 по задаче 1: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565,0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565,0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565,0 местный бюджет</w:t>
            </w:r>
          </w:p>
        </w:tc>
      </w:tr>
      <w:tr>
        <w:trPr/>
        <w:tc>
          <w:tcPr>
            <w:tcW w:w="11427" w:type="dxa"/>
            <w:gridSpan w:val="21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спонсорский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спонсорский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спонсорский</w:t>
            </w:r>
          </w:p>
        </w:tc>
      </w:tr>
      <w:tr>
        <w:trPr/>
        <w:tc>
          <w:tcPr>
            <w:tcW w:w="14281" w:type="dxa"/>
            <w:gridSpan w:val="26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задачи: 2. Совершенствование взаимодействия муниципальных органов с институтами гражданского общества в сфере государственной национальной политики в Буинском муниципальном районе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2.1.Конференции,  совещания, семинары,   практикумы, деловые встречи, мастер-класс      среди учителей      родных (татарский, чувашский) языков по проблемам преподавания предметов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мероприятий, единиц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5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5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5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2.2. Поддержка и пропаганда развития языков в общеобразовательных учреждениях «Месячник родного (татарского) языка», «Месячник родного (чувашского) языка», «Декада русского языка»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МКУ 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мероприятий, единиц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6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6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6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2.3 республиканская научно-исследовательская чтения имени Р. Хариса «Киләчәге бар милләт без, Шәхесләргә бай милләт без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 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2.4. республиканская научно-практическая конференция «Кояшлы ил»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2.5.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Районный конкурс на родном (чувашском) языке  «Грамотное поколение»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 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2.6.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Фестиваль родных языков «В семье единой»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35,0 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27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Районная научно-практическая конференция школьников им. Л.Н. Толстого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2.8.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 песни «Тахарьял шапчаке»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2.9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День рождения И.Я. Яковлева. Читательская конференция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2.10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Районный конкурс чтецов «Живая классика»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2.11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Национальный фестиваль детского художественного творчества «Без бергэ»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130,0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34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2.12.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народного творчества «Татар кызы»</w:t>
            </w:r>
          </w:p>
        </w:tc>
        <w:tc>
          <w:tcPr>
            <w:tcW w:w="155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«Управление образования»</w:t>
            </w:r>
          </w:p>
        </w:tc>
        <w:tc>
          <w:tcPr>
            <w:tcW w:w="11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</w:t>
            </w:r>
          </w:p>
        </w:tc>
        <w:tc>
          <w:tcPr>
            <w:tcW w:w="100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40,0 местный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40,0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40,0 местный бюджет</w:t>
            </w:r>
          </w:p>
        </w:tc>
      </w:tr>
      <w:tr>
        <w:trPr/>
        <w:tc>
          <w:tcPr>
            <w:tcW w:w="11427" w:type="dxa"/>
            <w:gridSpan w:val="21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392,0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392,0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392,0 местный бюджет</w:t>
            </w:r>
          </w:p>
        </w:tc>
      </w:tr>
      <w:tr>
        <w:trPr/>
        <w:tc>
          <w:tcPr>
            <w:tcW w:w="14281" w:type="dxa"/>
            <w:gridSpan w:val="26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Наименование задачи:3 Создание условий и поддержка межэтнического и межконфессионального мира и согласия</w:t>
            </w:r>
          </w:p>
        </w:tc>
      </w:tr>
      <w:tr>
        <w:trPr/>
        <w:tc>
          <w:tcPr>
            <w:tcW w:w="35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3.1.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Празднование дня города Буинска и дня Республики Татарстан «Куп миллэтле, монлы телле халкым минем»</w:t>
            </w:r>
          </w:p>
        </w:tc>
        <w:tc>
          <w:tcPr>
            <w:tcW w:w="1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Управление культуры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113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мероприятий, единиц</w:t>
            </w:r>
          </w:p>
        </w:tc>
        <w:tc>
          <w:tcPr>
            <w:tcW w:w="98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1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7,0 местный бюджет</w:t>
            </w:r>
          </w:p>
        </w:tc>
      </w:tr>
      <w:tr>
        <w:trPr>
          <w:trHeight w:val="2288" w:hRule="atLeast"/>
        </w:trPr>
        <w:tc>
          <w:tcPr>
            <w:tcW w:w="35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3.2. Международный театральный фестиваль «Буа» пространство диалога»</w:t>
            </w:r>
          </w:p>
        </w:tc>
        <w:tc>
          <w:tcPr>
            <w:tcW w:w="1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ГАУК «Буинский Государственный драматический театр»</w:t>
            </w:r>
          </w:p>
        </w:tc>
        <w:tc>
          <w:tcPr>
            <w:tcW w:w="113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мероприятий, единиц</w:t>
            </w:r>
          </w:p>
        </w:tc>
        <w:tc>
          <w:tcPr>
            <w:tcW w:w="98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1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4,0 местный бюджет</w:t>
            </w:r>
          </w:p>
        </w:tc>
      </w:tr>
      <w:tr>
        <w:trPr/>
        <w:tc>
          <w:tcPr>
            <w:tcW w:w="35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3.3. Реализация культурно-образовательного проекта «Диалог культур» для специалистов дошкольного среднего, среднего специального, дополнительного образования</w:t>
            </w:r>
          </w:p>
        </w:tc>
        <w:tc>
          <w:tcPr>
            <w:tcW w:w="1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Управление культуры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»,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МКУ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Управление образования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113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участников, единиц</w:t>
            </w:r>
          </w:p>
        </w:tc>
        <w:tc>
          <w:tcPr>
            <w:tcW w:w="98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110</w:t>
            </w:r>
          </w:p>
        </w:tc>
        <w:tc>
          <w:tcPr>
            <w:tcW w:w="99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110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110</w:t>
            </w:r>
          </w:p>
        </w:tc>
        <w:tc>
          <w:tcPr>
            <w:tcW w:w="100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11434" w:type="dxa"/>
            <w:gridSpan w:val="2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 по задаче 3:</w:t>
            </w:r>
          </w:p>
        </w:tc>
        <w:tc>
          <w:tcPr>
            <w:tcW w:w="99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27,0 местный бюджет</w:t>
            </w:r>
          </w:p>
        </w:tc>
      </w:tr>
      <w:tr>
        <w:trPr/>
        <w:tc>
          <w:tcPr>
            <w:tcW w:w="14281" w:type="dxa"/>
            <w:gridSpan w:val="26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задачи: 4 Научно-образовательное и информационное обеспечение реализации государственной национальной политики в Республике Татарстан</w:t>
            </w:r>
          </w:p>
        </w:tc>
      </w:tr>
      <w:tr>
        <w:trPr/>
        <w:tc>
          <w:tcPr>
            <w:tcW w:w="35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4.1. Проведение мониторинга состояния межнациональных и межконфессиональных отношений в Республике Татарстан</w:t>
            </w:r>
          </w:p>
        </w:tc>
        <w:tc>
          <w:tcPr>
            <w:tcW w:w="1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МКУ «Управление культуры»</w:t>
            </w:r>
          </w:p>
        </w:tc>
        <w:tc>
          <w:tcPr>
            <w:tcW w:w="113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мониторинга, единиц</w:t>
            </w:r>
          </w:p>
        </w:tc>
        <w:tc>
          <w:tcPr>
            <w:tcW w:w="9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1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7,0 местный бюджет</w:t>
            </w:r>
          </w:p>
        </w:tc>
      </w:tr>
      <w:tr>
        <w:trPr/>
        <w:tc>
          <w:tcPr>
            <w:tcW w:w="35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4.2. Подготовка ежегодного доклада о реализации Концепции государственной национальной политики в Республике Татарстан</w:t>
            </w:r>
          </w:p>
        </w:tc>
        <w:tc>
          <w:tcPr>
            <w:tcW w:w="1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МКУ «Управление культуры»</w:t>
            </w:r>
          </w:p>
        </w:tc>
        <w:tc>
          <w:tcPr>
            <w:tcW w:w="113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2026-2028 гг.</w:t>
            </w:r>
          </w:p>
        </w:tc>
        <w:tc>
          <w:tcPr>
            <w:tcW w:w="240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доклада, единиц</w:t>
            </w:r>
          </w:p>
        </w:tc>
        <w:tc>
          <w:tcPr>
            <w:tcW w:w="9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tt-RU" w:eastAsia="en-US" w:bidi="ar-SA"/>
              </w:rPr>
              <w:t>1</w:t>
            </w:r>
          </w:p>
        </w:tc>
        <w:tc>
          <w:tcPr>
            <w:tcW w:w="8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9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4,0 местный бюджет</w:t>
            </w:r>
          </w:p>
        </w:tc>
      </w:tr>
      <w:tr>
        <w:trPr/>
        <w:tc>
          <w:tcPr>
            <w:tcW w:w="11444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 по задаче 4: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11,0 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11,0 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11,0 местный бюджет</w:t>
            </w:r>
          </w:p>
        </w:tc>
      </w:tr>
      <w:tr>
        <w:trPr/>
        <w:tc>
          <w:tcPr>
            <w:tcW w:w="11444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 по программе: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995,0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995,0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995,0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/>
        <w:tc>
          <w:tcPr>
            <w:tcW w:w="11444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 по программе: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вне бюджет</w:t>
            </w:r>
          </w:p>
        </w:tc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вне бюджет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2000,0 вне бюджет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Целевые индикаторы и показатели результативности реализации муниципальной Программы «Реализации государственной национальной политики на 2026 – 2028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12"/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2"/>
        <w:gridCol w:w="1984"/>
        <w:gridCol w:w="994"/>
        <w:gridCol w:w="850"/>
        <w:gridCol w:w="993"/>
      </w:tblGrid>
      <w:tr>
        <w:trPr/>
        <w:tc>
          <w:tcPr>
            <w:tcW w:w="9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Целевой показатель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Единица измерения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2026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2027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en-US" w:eastAsia="en-US" w:bidi="ar-SA"/>
              </w:rPr>
              <w:t>2028</w:t>
            </w:r>
          </w:p>
        </w:tc>
      </w:tr>
      <w:tr>
        <w:trPr/>
        <w:tc>
          <w:tcPr>
            <w:tcW w:w="9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Доля населения района, положительно оценивающих состояние межэтнических отношений в Буинском муниципальном районе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%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85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86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en-US" w:eastAsia="en-US" w:bidi="ar-SA"/>
              </w:rPr>
              <w:t>87</w:t>
            </w:r>
          </w:p>
        </w:tc>
      </w:tr>
      <w:tr>
        <w:trPr/>
        <w:tc>
          <w:tcPr>
            <w:tcW w:w="9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Уровень толерантного отношения к представителям другой национальности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%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84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85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en-US" w:eastAsia="en-US" w:bidi="ar-SA"/>
              </w:rPr>
              <w:t>86</w:t>
            </w:r>
          </w:p>
        </w:tc>
      </w:tr>
      <w:tr>
        <w:trPr/>
        <w:tc>
          <w:tcPr>
            <w:tcW w:w="9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3250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3300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en-US" w:eastAsia="en-US" w:bidi="ar-SA"/>
              </w:rPr>
              <w:t>3350</w:t>
            </w:r>
          </w:p>
        </w:tc>
      </w:tr>
      <w:tr>
        <w:trPr/>
        <w:tc>
          <w:tcPr>
            <w:tcW w:w="9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Доля населения района, положительно оценивающих состояние межконфессиональных отношений в Буинском муниципальном районе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%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89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90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en-US" w:eastAsia="en-US" w:bidi="ar-SA"/>
              </w:rPr>
              <w:t>93</w:t>
            </w:r>
          </w:p>
        </w:tc>
      </w:tr>
      <w:tr>
        <w:trPr/>
        <w:tc>
          <w:tcPr>
            <w:tcW w:w="9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Доля жителей района. реализаций своих этнокультурных потребностей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%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83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84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en-US" w:eastAsia="en-US" w:bidi="ar-SA"/>
              </w:rPr>
              <w:t>85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1"/>
        <w:rPr/>
      </w:pPr>
      <w:r>
        <w:rPr/>
      </w:r>
    </w:p>
    <w:sectPr>
      <w:type w:val="nextPage"/>
      <w:pgSz w:orient="landscape" w:w="16838" w:h="11906"/>
      <w:pgMar w:left="1134" w:right="567" w:gutter="0" w:header="0" w:top="1134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74" w:hanging="46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050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8352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052fd5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93524"/>
    <w:rPr/>
  </w:style>
  <w:style w:type="character" w:styleId="Style16" w:customStyle="1">
    <w:name w:val="Нижний колонтитул Знак"/>
    <w:basedOn w:val="DefaultParagraphFont"/>
    <w:uiPriority w:val="99"/>
    <w:qFormat/>
    <w:rsid w:val="0069352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8352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65e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16635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Palatino Linotype" w:cs="Times New Roman"/>
      <w:color w:val="000000"/>
      <w:kern w:val="0"/>
      <w:sz w:val="24"/>
      <w:szCs w:val="24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69352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69352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aa63f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99"/>
    <w:rsid w:val="004c3b9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903d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59"/>
    <w:rsid w:val="00a144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2"/>
    <w:basedOn w:val="a1"/>
    <w:uiPriority w:val="59"/>
    <w:rsid w:val="00d83b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uinsk.tatarstan.ru/" TargetMode="External"/><Relationship Id="rId3" Type="http://schemas.openxmlformats.org/officeDocument/2006/relationships/hyperlink" Target="consultantplus://offline/ref=F3F142022D426914F08A82F05DAFF85AC103B755EBFA9843BD16AC47F7B5127EJ548J" TargetMode="External"/><Relationship Id="rId4" Type="http://schemas.openxmlformats.org/officeDocument/2006/relationships/hyperlink" Target="consultantplus://offline/ref=F3F142022D426914F08A82F05DAFF85AC103B755E4F29C44BA16AC47F7B5127E58CB13A31CF5BBA6EF5EF4J849J" TargetMode="External"/><Relationship Id="rId5" Type="http://schemas.openxmlformats.org/officeDocument/2006/relationships/hyperlink" Target="consultantplus://offline/ref=F3F142022D426914F08A82F05DAFF85AC103B755EBFA9843BD16AC47F7B5127EJ548J" TargetMode="External"/><Relationship Id="rId6" Type="http://schemas.openxmlformats.org/officeDocument/2006/relationships/hyperlink" Target="consultantplus://offline/ref=F3F142022D426914F08A82F05DAFF85AC103B755E4F39A43BA16AC47F7B5127EJ548J" TargetMode="External"/><Relationship Id="rId7" Type="http://schemas.openxmlformats.org/officeDocument/2006/relationships/hyperlink" Target="consultantplus://offline/ref=F3F142022D426914F08A82F05DAFF85AC103B755EFF69448B016AC47F7B5127E58CB13A31CF5BBA6EF5EF4J84EJ" TargetMode="External"/><Relationship Id="rId8" Type="http://schemas.openxmlformats.org/officeDocument/2006/relationships/hyperlink" Target="consultantplus://offline/ref=F3F142022D426914F08A82F05DAFF85AC103B755EFF69448B016AC47F7B5127E58CB13A31CF5BBA6EF5EF4J84EJ" TargetMode="External"/><Relationship Id="rId9" Type="http://schemas.openxmlformats.org/officeDocument/2006/relationships/hyperlink" Target="consultantplus://offline/ref=F3F142022D426914F08A9CFD4BC3A551C30BE05BE9F39717E449F71AA0BC18291F844AE158F8BAA7JE47J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AAB5-2EBA-40C9-BB1B-0E21C7B6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LibreOffice/7.5.6.2$Linux_X86_64 LibreOffice_project/50$Build-2</Application>
  <AppVersion>15.0000</AppVersion>
  <Pages>18</Pages>
  <Words>3497</Words>
  <Characters>26244</Characters>
  <CharactersWithSpaces>29339</CharactersWithSpaces>
  <Paragraphs>521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2026-02-25T11:01:00Z</dcterms:created>
  <dc:creator>Алсу</dc:creator>
  <dc:description/>
  <dc:language>ru-RU</dc:language>
  <cp:lastModifiedBy/>
  <cp:lastPrinted>2025-11-25T12:15:00Z</cp:lastPrinted>
  <dcterms:modified xsi:type="dcterms:W3CDTF">2026-02-26T16:34:02Z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