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НОВОЧЕЧКАБСКОГО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lang w:val="tt-RU"/>
              </w:rPr>
              <w:t>ЯҢА ЧӘЧКАП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_____________________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Новочечкабского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/>
      </w:pPr>
      <w:r>
        <w:rPr>
          <w:sz w:val="26"/>
          <w:szCs w:val="26"/>
        </w:rPr>
        <w:t>Республики Татарстан от 06.02.2023 №3-65</w:t>
      </w:r>
    </w:p>
    <w:p>
      <w:pPr>
        <w:pStyle w:val="Normal"/>
        <w:rPr/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Новочечкабского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/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sz w:val="26"/>
          <w:szCs w:val="26"/>
        </w:rPr>
        <w:t>1. Внести в решение Совета Новочечкабского сельского поселения Буинского муниципального района Республики Татарстан от 06.02.2023 №3-65«О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(в редакции решений от 27.05.2024 г. № 3-84, от 26.09.2024 г.№1-89, от 15.12.2025 №6-3</w:t>
      </w:r>
      <w:bookmarkStart w:id="0" w:name="_GoBack"/>
      <w:bookmarkEnd w:id="0"/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cs="Arial"/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/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/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/>
      </w:pPr>
      <w:r>
        <w:rPr>
          <w:sz w:val="26"/>
          <w:szCs w:val="26"/>
        </w:rPr>
        <w:t>Глава Новочечкабского сельского поселения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Буинского муниципального района РТ                                                   Д.Д.Абдрахманова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174</Words>
  <Characters>1415</Characters>
  <CharactersWithSpaces>1689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2026-03-02T13:25:00Z</dcterms:created>
  <dc:creator>buin-fbp02</dc:creator>
  <dc:description/>
  <dc:language>ru-RU</dc:language>
  <cp:lastModifiedBy/>
  <cp:lastPrinted>2026-03-02T13:26:00Z</cp:lastPrinted>
  <dcterms:modified xsi:type="dcterms:W3CDTF">2026-03-03T08:22:56Z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