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eastAsia="x-none"/>
              </w:rPr>
            </w:pPr>
            <w:r>
              <w:rPr>
                <w:rFonts w:cs="Arial"/>
                <w:szCs w:val="24"/>
                <w:lang w:eastAsia="x-none"/>
              </w:rPr>
              <w:t>СОРОК-САЙДАКСКОГО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  <w:lang w:eastAsia="x-none"/>
              </w:rPr>
              <w:t xml:space="preserve"> </w:t>
            </w: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</w:t>
            </w:r>
            <w:r>
              <w:rPr>
                <w:rFonts w:cs="Arial"/>
                <w:szCs w:val="24"/>
                <w:lang w:eastAsia="x-none"/>
              </w:rPr>
              <w:t>КЫРЫК-САДАК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Сорок-Сайдакского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Сорок-Сайдакского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Сорок-Сайдакского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1-34 «Об утверждении Порядка размещения на официальном сайте муниципального образования  Сорок-Сайдакского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Сорок-Сайдакского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26.06.2021 № 2-25 «О внесении изменений в решение Совета   Сорок-Сайдакского сельского поселения Буинского муниципального района Республики Татарстан от 09.09.2017 № 1-34 в Порядок размещения на официальном сайте муниципального образования Сорок-Сайдакского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Сорок-Сайдакского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Сорок-Сайдакского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В.Ф.Шагиева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LibreOffice/7.6.7.2$Linux_X86_64 LibreOffice_project/60$Build-2</Application>
  <AppVersion>15.0000</AppVersion>
  <Pages>2</Pages>
  <Words>312</Words>
  <Characters>2570</Characters>
  <CharactersWithSpaces>3238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