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_____________                                                                            __________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Исполнительного комитета города Буинска Буинского муниципального района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от 21.04.2021 г. № 26 </w:t>
      </w:r>
      <w:bookmarkEnd w:id="0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«Об утверждении административного регламента по предоставлению муниципальной услуги по заключению договора на размещение нестационарных торговых объектов на землях, находящихся в муниципальной собственности»</w:t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(в ред. 29.12.2025 г.),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Уставом муниципального образования город Буинск, Исполнительный комитет города Буинск Буинского муниципального района Республики Татарстан,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21.04.2021 г. № 26 «Об утверждении административного регламента по предоставлению муниципальной услуги по заключению договора на размещение нестационарных торговых объектов на землях, находящихся в муниципальной собственности» следующие изменения и дополнения: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1.1. Раздел 3 в пункте 3 части 2 слово «центрах;» заменить словами «центрах.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обратились;»;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дополнить часть 3 следующ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им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содержания: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«3.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09833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LibreOffice/7.6.7.2$Linux_X86_64 LibreOffice_project/60$Build-2</Application>
  <AppVersion>15.0000</AppVersion>
  <Pages>2</Pages>
  <Words>289</Words>
  <Characters>2341</Characters>
  <CharactersWithSpaces>2844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2026-03-26T14:20:41Z</cp:lastPrinted>
  <dcterms:modified xsi:type="dcterms:W3CDTF">2026-03-26T14:39:13Z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