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57" w:type="dxa"/>
        <w:jc w:val="left"/>
        <w:tblInd w:w="0" w:type="dxa"/>
        <w:tblLayout w:type="fixed"/>
        <w:tblCellMar>
          <w:top w:w="0" w:type="dxa"/>
          <w:left w:w="0" w:type="dxa"/>
          <w:bottom w:w="57" w:type="dxa"/>
          <w:right w:w="0" w:type="dxa"/>
        </w:tblCellMar>
      </w:tblPr>
      <w:tblGrid>
        <w:gridCol w:w="4261"/>
        <w:gridCol w:w="591"/>
        <w:gridCol w:w="957"/>
        <w:gridCol w:w="4164"/>
        <w:gridCol w:w="84"/>
      </w:tblGrid>
      <w:tr>
        <w:trPr>
          <w:trHeight w:val="1560" w:hRule="atLeast"/>
        </w:trPr>
        <w:tc>
          <w:tcPr>
            <w:tcW w:w="4261" w:type="dxa"/>
            <w:tcBorders>
              <w:bottom w:val="single" w:sz="4" w:space="0" w:color="000000"/>
            </w:tcBorders>
            <w:vAlign w:val="center"/>
          </w:tcPr>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РЕСПУБЛИКА ТАТАРСТАН</w:t>
            </w:r>
          </w:p>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 xml:space="preserve">СОВЕТ </w:t>
            </w:r>
          </w:p>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БУИНСКОГО</w:t>
            </w:r>
          </w:p>
          <w:p>
            <w:pPr>
              <w:pStyle w:val="Normal"/>
              <w:widowControl w:val="false"/>
              <w:spacing w:lineRule="auto" w:line="240" w:before="0" w:after="200"/>
              <w:ind w:hanging="0" w:left="0"/>
              <w:jc w:val="center"/>
              <w:rPr>
                <w:rFonts w:ascii="PT Astra Serif" w:hAnsi="PT Astra Serif"/>
                <w:sz w:val="28"/>
                <w:szCs w:val="28"/>
              </w:rPr>
            </w:pPr>
            <w:r>
              <w:rPr>
                <w:rFonts w:ascii="PT Astra Serif" w:hAnsi="PT Astra Serif"/>
                <w:sz w:val="28"/>
                <w:szCs w:val="28"/>
              </w:rPr>
              <w:t>МУНИЦИПАЛЬНОГО РАЙОНА</w:t>
            </w:r>
          </w:p>
        </w:tc>
        <w:tc>
          <w:tcPr>
            <w:tcW w:w="1548" w:type="dxa"/>
            <w:gridSpan w:val="2"/>
            <w:tcBorders>
              <w:bottom w:val="single" w:sz="4" w:space="0" w:color="000000"/>
            </w:tcBorders>
            <w:vAlign w:val="center"/>
          </w:tcPr>
          <w:p>
            <w:pPr>
              <w:pStyle w:val="Normal"/>
              <w:widowControl w:val="false"/>
              <w:spacing w:lineRule="auto" w:line="240" w:before="0" w:after="200"/>
              <w:ind w:hanging="0" w:left="0"/>
              <w:jc w:val="center"/>
              <w:rPr>
                <w:rFonts w:ascii="PT Astra Serif" w:hAnsi="PT Astra Serif"/>
                <w:sz w:val="28"/>
                <w:szCs w:val="28"/>
                <w:lang w:val="ru-RU" w:eastAsia="ru-RU"/>
              </w:rPr>
            </w:pPr>
            <w:r>
              <w:rPr/>
              <w:drawing>
                <wp:inline distT="0" distB="0" distL="0" distR="0">
                  <wp:extent cx="722630" cy="90233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8" t="-6" r="-8" b="-6"/>
                          <a:stretch>
                            <a:fillRect/>
                          </a:stretch>
                        </pic:blipFill>
                        <pic:spPr bwMode="auto">
                          <a:xfrm>
                            <a:off x="0" y="0"/>
                            <a:ext cx="722630" cy="902335"/>
                          </a:xfrm>
                          <a:prstGeom prst="rect">
                            <a:avLst/>
                          </a:prstGeom>
                        </pic:spPr>
                      </pic:pic>
                    </a:graphicData>
                  </a:graphic>
                </wp:inline>
              </w:drawing>
            </w:r>
          </w:p>
        </w:tc>
        <w:tc>
          <w:tcPr>
            <w:tcW w:w="4248" w:type="dxa"/>
            <w:gridSpan w:val="2"/>
            <w:tcBorders>
              <w:bottom w:val="single" w:sz="4" w:space="0" w:color="000000"/>
            </w:tcBorders>
            <w:vAlign w:val="center"/>
          </w:tcPr>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ТАТАРСТАН РЕСПУБЛИКАСЫ</w:t>
            </w:r>
          </w:p>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БУА</w:t>
            </w:r>
          </w:p>
          <w:p>
            <w:pPr>
              <w:pStyle w:val="Normal"/>
              <w:widowControl w:val="false"/>
              <w:spacing w:lineRule="auto" w:line="240"/>
              <w:ind w:hanging="0" w:left="0"/>
              <w:jc w:val="center"/>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МУНИЦИПАЛЬ РАЙОНЫ</w:t>
            </w:r>
          </w:p>
          <w:p>
            <w:pPr>
              <w:pStyle w:val="Normal"/>
              <w:widowControl w:val="false"/>
              <w:spacing w:lineRule="auto" w:line="240" w:before="0" w:after="200"/>
              <w:ind w:hanging="0" w:left="0"/>
              <w:jc w:val="center"/>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СОВЕТЫ</w:t>
            </w:r>
          </w:p>
        </w:tc>
      </w:tr>
      <w:tr>
        <w:trPr>
          <w:trHeight w:val="1021" w:hRule="atLeast"/>
        </w:trPr>
        <w:tc>
          <w:tcPr>
            <w:tcW w:w="4852" w:type="dxa"/>
            <w:gridSpan w:val="2"/>
            <w:tcBorders/>
            <w:tcMar>
              <w:bottom w:w="0" w:type="dxa"/>
            </w:tcMar>
          </w:tcPr>
          <w:p>
            <w:pPr>
              <w:pStyle w:val="Normal"/>
              <w:widowControl w:val="false"/>
              <w:spacing w:lineRule="auto" w:line="240"/>
              <w:jc w:val="center"/>
              <w:rPr>
                <w:rFonts w:ascii="PT Astra Serif" w:hAnsi="PT Astra Serif"/>
                <w:b/>
                <w:sz w:val="28"/>
                <w:szCs w:val="28"/>
              </w:rPr>
            </w:pPr>
            <w: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Врезка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Normal"/>
                                    <w:widowControl w:val="false"/>
                                    <w:spacing w:before="0" w:after="200"/>
                                    <w:jc w:val="center"/>
                                    <w:rPr/>
                                  </w:pPr>
                                  <w:r>
                                    <w:rPr>
                                      <w:color w:val="000000"/>
                                      <w:sz w:val="28"/>
                                      <w:szCs w:val="28"/>
                                    </w:rPr>
                                    <w:t>г.</w:t>
                                  </w:r>
                                  <w:r>
                                    <w:rPr>
                                      <w:color w:val="000000"/>
                                      <w:sz w:val="28"/>
                                      <w:szCs w:val="28"/>
                                      <w:lang w:val="en-US"/>
                                    </w:rPr>
                                    <w:t xml:space="preserve"> </w:t>
                                  </w:r>
                                  <w:r>
                                    <w:rPr>
                                      <w:color w:val="000000"/>
                                      <w:sz w:val="28"/>
                                      <w:szCs w:val="28"/>
                                    </w:rPr>
                                    <w:t>Буинск</w:t>
                                  </w:r>
                                </w:p>
                              </w:txbxContent>
                            </wps:txbx>
                            <wps:bodyPr lIns="720" rIns="720" tIns="720" bIns="720" anchor="t">
                              <a:noAutofit/>
                            </wps:bodyPr>
                          </wps:wsp>
                        </a:graphicData>
                      </a:graphic>
                    </wp:anchor>
                  </w:drawing>
                </mc:Choice>
                <mc:Fallback>
                  <w:pict>
                    <v:rect id="shape_0" ID="Врезка1"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Normal"/>
                              <w:widowControl w:val="false"/>
                              <w:spacing w:before="0" w:after="200"/>
                              <w:jc w:val="center"/>
                              <w:rPr/>
                            </w:pPr>
                            <w:r>
                              <w:rPr>
                                <w:color w:val="000000"/>
                                <w:sz w:val="28"/>
                                <w:szCs w:val="28"/>
                              </w:rPr>
                              <w:t>г.</w:t>
                            </w:r>
                            <w:r>
                              <w:rPr>
                                <w:color w:val="000000"/>
                                <w:sz w:val="28"/>
                                <w:szCs w:val="28"/>
                                <w:lang w:val="en-US"/>
                              </w:rPr>
                              <w:t xml:space="preserve"> </w:t>
                            </w:r>
                            <w:r>
                              <w:rPr>
                                <w:color w:val="000000"/>
                                <w:sz w:val="28"/>
                                <w:szCs w:val="28"/>
                              </w:rPr>
                              <w:t>Буинск</w:t>
                            </w:r>
                          </w:p>
                        </w:txbxContent>
                      </v:textbox>
                      <w10:wrap type="none"/>
                    </v:rect>
                  </w:pict>
                </mc:Fallback>
              </mc:AlternateContent>
            </w:r>
            <w:r>
              <w:rPr>
                <w:rFonts w:ascii="PT Astra Serif" w:hAnsi="PT Astra Serif"/>
                <w:b/>
                <w:sz w:val="28"/>
                <w:szCs w:val="28"/>
              </w:rPr>
              <w:t>РЕШЕНИЕ</w:t>
            </w:r>
          </w:p>
          <w:p>
            <w:pPr>
              <w:pStyle w:val="Normal"/>
              <w:widowControl w:val="false"/>
              <w:spacing w:lineRule="auto" w:line="240" w:before="0" w:after="200"/>
              <w:jc w:val="center"/>
              <w:rPr>
                <w:rFonts w:ascii="PT Astra Serif" w:hAnsi="PT Astra Serif"/>
                <w:sz w:val="28"/>
                <w:szCs w:val="28"/>
              </w:rPr>
            </w:pPr>
            <w:r>
              <w:rPr>
                <w:rFonts w:ascii="PT Astra Serif" w:hAnsi="PT Astra Serif"/>
                <w:sz w:val="28"/>
                <w:szCs w:val="28"/>
              </w:rPr>
              <w:t>_________</w:t>
            </w:r>
          </w:p>
        </w:tc>
        <w:tc>
          <w:tcPr>
            <w:tcW w:w="5121" w:type="dxa"/>
            <w:gridSpan w:val="2"/>
            <w:tcBorders/>
            <w:tcMar>
              <w:bottom w:w="0" w:type="dxa"/>
            </w:tcMar>
          </w:tcPr>
          <w:p>
            <w:pPr>
              <w:pStyle w:val="Normal"/>
              <w:keepNext w:val="true"/>
              <w:widowControl w:val="false"/>
              <w:numPr>
                <w:ilvl w:val="0"/>
                <w:numId w:val="0"/>
              </w:numPr>
              <w:spacing w:lineRule="auto" w:line="240"/>
              <w:ind w:hanging="0" w:left="0"/>
              <w:jc w:val="center"/>
              <w:outlineLvl w:val="0"/>
              <w:rPr>
                <w:rFonts w:ascii="PT Astra Serif" w:hAnsi="PT Astra Serif"/>
                <w:b/>
                <w:sz w:val="28"/>
                <w:szCs w:val="28"/>
              </w:rPr>
            </w:pPr>
            <w:r>
              <w:rPr>
                <w:rFonts w:ascii="PT Astra Serif" w:hAnsi="PT Astra Serif"/>
                <w:b/>
                <w:sz w:val="28"/>
                <w:szCs w:val="28"/>
              </w:rPr>
              <w:t>КАРАР</w:t>
            </w:r>
          </w:p>
          <w:p>
            <w:pPr>
              <w:pStyle w:val="Normal"/>
              <w:widowControl w:val="false"/>
              <w:spacing w:lineRule="auto" w:line="240" w:before="0" w:after="200"/>
              <w:jc w:val="center"/>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_____</w:t>
            </w:r>
          </w:p>
        </w:tc>
        <w:tc>
          <w:tcPr>
            <w:tcW w:w="84" w:type="dxa"/>
            <w:tcBorders/>
            <w:tcMar>
              <w:bottom w:w="0" w:type="dxa"/>
            </w:tcMar>
          </w:tcPr>
          <w:p>
            <w:pPr>
              <w:pStyle w:val="Normal"/>
              <w:widowControl w:val="false"/>
              <w:spacing w:before="0" w:after="200"/>
              <w:rPr/>
            </w:pPr>
            <w:r>
              <w:rPr/>
            </w:r>
          </w:p>
        </w:tc>
      </w:tr>
    </w:tbl>
    <w:p>
      <w:pPr>
        <w:pStyle w:val="Normal"/>
        <w:rPr/>
      </w:pPr>
      <w:r>
        <w:rPr/>
      </w:r>
    </w:p>
    <w:p>
      <w:pPr>
        <w:pStyle w:val="Normal"/>
        <w:shd w:val="clear" w:color="auto" w:fill="FFFFFF"/>
        <w:spacing w:lineRule="auto" w:line="240"/>
        <w:ind w:hanging="0" w:right="4818"/>
        <w:jc w:val="both"/>
        <w:rPr>
          <w:sz w:val="26"/>
          <w:szCs w:val="26"/>
        </w:rPr>
      </w:pPr>
      <w:r>
        <w:rPr>
          <w:rFonts w:ascii="PT Astra Serif" w:hAnsi="PT Astra Serif"/>
          <w:bCs/>
          <w:color w:val="000000"/>
          <w:sz w:val="26"/>
          <w:szCs w:val="26"/>
        </w:rPr>
        <w:t>О внесении изменений в Положение от 15.09.2017 г. № 19-24 «Об утверждении Положения о порядке и условиях приватизации муниципального имущества Буинского муниципального района Республики Татарстан»</w:t>
      </w:r>
    </w:p>
    <w:p>
      <w:pPr>
        <w:pStyle w:val="Normal"/>
        <w:shd w:val="clear" w:color="auto" w:fill="FFFFFF"/>
        <w:spacing w:lineRule="auto" w:line="240"/>
        <w:ind w:hanging="0" w:right="4818"/>
        <w:jc w:val="both"/>
        <w:rPr>
          <w:rFonts w:ascii="PT Astra Serif" w:hAnsi="PT Astra Serif"/>
          <w:sz w:val="26"/>
          <w:szCs w:val="26"/>
        </w:rPr>
      </w:pPr>
      <w:r>
        <w:rPr>
          <w:rFonts w:ascii="PT Astra Serif" w:hAnsi="PT Astra Serif"/>
          <w:sz w:val="26"/>
          <w:szCs w:val="26"/>
        </w:rPr>
      </w:r>
    </w:p>
    <w:p>
      <w:pPr>
        <w:pStyle w:val="Normal"/>
        <w:widowControl/>
        <w:shd w:val="clear" w:color="auto" w:fill="FFFFFF"/>
        <w:bidi w:val="0"/>
        <w:spacing w:lineRule="auto" w:line="240" w:before="0" w:after="200"/>
        <w:ind w:hanging="0" w:left="0" w:right="113"/>
        <w:jc w:val="both"/>
        <w:rPr>
          <w:sz w:val="26"/>
          <w:szCs w:val="26"/>
        </w:rPr>
      </w:pPr>
      <w:r>
        <w:rPr>
          <w:rFonts w:ascii="PT Astra Serif" w:hAnsi="PT Astra Serif"/>
          <w:sz w:val="26"/>
          <w:szCs w:val="26"/>
        </w:rPr>
        <w:tab/>
        <w:t xml:space="preserve">В соответствии с Федеральными Законами от 21.12.2001 №  178-ФЗ «О приватизации государственного и муниципального имущества» с изменениями, от 20.03.2025 г. № 33-ФЗ "Об общих принципах организации местного самоуправления в Российской Федерации", </w:t>
      </w:r>
      <w:r>
        <w:rPr>
          <w:rFonts w:ascii="PT Astra Serif" w:hAnsi="PT Astra Serif"/>
          <w:sz w:val="26"/>
          <w:szCs w:val="26"/>
        </w:rPr>
        <w:t>Совет Буинского муниципального района,решил:</w:t>
      </w:r>
    </w:p>
    <w:p>
      <w:pPr>
        <w:pStyle w:val="Normal"/>
        <w:widowControl/>
        <w:shd w:val="clear" w:color="auto" w:fill="FFFFFF"/>
        <w:bidi w:val="0"/>
        <w:spacing w:lineRule="auto" w:line="240" w:before="0" w:after="200"/>
        <w:ind w:hanging="0" w:left="0" w:right="113"/>
        <w:jc w:val="both"/>
        <w:rPr>
          <w:rFonts w:ascii="PT Astra Serif" w:hAnsi="PT Astra Serif"/>
          <w:sz w:val="26"/>
          <w:szCs w:val="26"/>
        </w:rPr>
      </w:pPr>
      <w:r>
        <w:rPr>
          <w:rFonts w:ascii="PT Astra Serif" w:hAnsi="PT Astra Serif"/>
          <w:sz w:val="26"/>
          <w:szCs w:val="26"/>
        </w:rPr>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 xml:space="preserve">1. </w:t>
      </w:r>
      <w:r>
        <w:rPr>
          <w:rFonts w:ascii="PT Astra Serif" w:hAnsi="PT Astra Serif"/>
          <w:color w:val="000000"/>
          <w:sz w:val="26"/>
          <w:szCs w:val="26"/>
        </w:rPr>
        <w:t>Внести в Положение Совета Буинского муниципального района от 15.09.2017 г. № 19-24 «Об утверждении Положения о порядке и условиях приватизации муниципального имущества Буинского муниципального района Республики Татарстан»</w:t>
      </w:r>
      <w:r>
        <w:rPr>
          <w:rFonts w:ascii="PT Astra Serif" w:hAnsi="PT Astra Serif"/>
          <w:color w:val="000000"/>
          <w:sz w:val="26"/>
          <w:szCs w:val="26"/>
        </w:rPr>
        <w:t xml:space="preserve"> следующие изменения и дополнения:</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1.1. Пункт 8.1 слова «или иными федеральными законами, и публичным сервитутом» заменить словами и (или) иными федеральными законами, и (или) публичным сервитутом.</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1.2. Абзац 5 пункта 5.7 признать утратившим силу;</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1.3. Пункт 5.1 дополнить предложением следующего содержания: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1.4. Абзац 3 пункта 4.15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1.5. Пункт 7.3, 7.4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«3. Продажа по минимально допустимой цене является открытой по составу участников.</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государственного или муниципального имущества.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1.6. Пункт 7.2 в абзаце первом слова «государственного или муниципального имущества без объявления цены» заменить словами «по минимально допустимой цене», дополнить словами «, а также содержать сведения о минимальной цене государственного или муниципального имущества»;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абзацы второй и третий признать утратившими силу;</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1.7. Абзац 2 пункта 7.1</w:t>
      </w:r>
      <w:r>
        <w:rPr>
          <w:rFonts w:ascii="PT Astra Serif" w:hAnsi="PT Astra Serif"/>
          <w:b w:val="false"/>
          <w:bCs w:val="false"/>
          <w:color w:val="000000"/>
          <w:sz w:val="26"/>
          <w:szCs w:val="26"/>
        </w:rPr>
        <w:t xml:space="preserve">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дополнить абзацем следующего содержания: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1.8. Пункт 7.1:</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в абзаце первом слова «без объявления цены» заменить словами «по минимально допустимой цене (далее - продажа по минимально допустимой цене)»;</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абзац второй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дополнить абзацем следующего содержания: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1.9. Абзац 7 пункта 4.20 дополнить словами «,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абзацем вторым пункта 4 статьи 24 настоящего Федерального закона»;</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1.10. Абзац 14 пункта 4.16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1.11. Подпункт 7 пункта 4.2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«8) продажа государственного или муниципального имущества по минимально допустимой цене;»;</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1.12. Пункт 4.16 дополнить подпунктами 17 и 18 следующего содержания: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18) условия конкурса, формы и сроки их выполнения.»;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1.13. Пункт 1.6 слово «недвижимого» исключить.</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1.14. Пункт 5.11</w:t>
      </w:r>
      <w:r>
        <w:rPr>
          <w:rFonts w:ascii="PT Astra Serif" w:hAnsi="PT Astra Serif"/>
          <w:b/>
          <w:bCs w:val="false"/>
          <w:color w:val="000000"/>
          <w:sz w:val="26"/>
          <w:szCs w:val="26"/>
        </w:rPr>
        <w:t xml:space="preserve"> </w:t>
      </w:r>
      <w:r>
        <w:rPr>
          <w:rFonts w:ascii="PT Astra Serif" w:hAnsi="PT Astra Serif"/>
          <w:b w:val="false"/>
          <w:bCs w:val="false"/>
          <w:color w:val="000000"/>
          <w:sz w:val="26"/>
          <w:szCs w:val="26"/>
        </w:rPr>
        <w:t>после слов «победителя аукциона» дополнить словами «либо лица, признанного единственным участником аукциона, в случае, установленном в абзаце втором пункта 3 настоящей статьи,»;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1.15. Пункт 5.12 после слов «его победителя» дополнить словами «либо лица, признанного единственным участником аукциона, в случае, установленном в абзаце втором пункта 3 настоящей статьи»;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1.16. Абзац 3 пункта 5.3  изложить в следующей редакции:</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В случае отказа лица, признанного единственным участником аукциона, от заключения договора аукцион признается несостоявшимся.»;</w:t>
      </w:r>
    </w:p>
    <w:p>
      <w:pPr>
        <w:pStyle w:val="Normal"/>
        <w:shd w:val="clear" w:color="auto" w:fill="FFFFFF"/>
        <w:spacing w:lineRule="auto" w:line="240" w:before="0" w:after="29"/>
        <w:ind w:hanging="0"/>
        <w:jc w:val="both"/>
        <w:rPr>
          <w:sz w:val="26"/>
          <w:szCs w:val="26"/>
        </w:rPr>
      </w:pPr>
      <w:r>
        <w:rPr>
          <w:rFonts w:ascii="PT Astra Serif" w:hAnsi="PT Astra Serif"/>
          <w:b w:val="false"/>
          <w:bCs w:val="false"/>
          <w:color w:val="000000"/>
          <w:sz w:val="26"/>
          <w:szCs w:val="26"/>
        </w:rPr>
        <w:tab/>
        <w:t>1.17. Абзац 7 пункта 4.20 дополнить словами «, лица, признанного единственным участником аукциона, в случае, установленном в абзаце втором пункта 3 статьи 18 настоящего Федерального закона»;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2. Официально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3. Настоящее постановление вступает в силу со дня его официального опубликования.</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ab/>
        <w:t>4. Контроль за исполнением настоящего постановления оставляю за собой</w:t>
      </w:r>
    </w:p>
    <w:p>
      <w:pPr>
        <w:pStyle w:val="Normal"/>
        <w:shd w:val="clear" w:color="auto" w:fill="FFFFFF"/>
        <w:spacing w:lineRule="auto" w:line="240" w:before="0" w:after="29"/>
        <w:ind w:hanging="0"/>
        <w:jc w:val="both"/>
        <w:rPr>
          <w:rFonts w:ascii="PT Astra Serif" w:hAnsi="PT Astra Serif"/>
          <w:color w:val="000000"/>
          <w:sz w:val="26"/>
          <w:szCs w:val="26"/>
        </w:rPr>
      </w:pPr>
      <w:r>
        <w:rPr>
          <w:rFonts w:ascii="PT Astra Serif" w:hAnsi="PT Astra Serif"/>
          <w:color w:val="000000"/>
          <w:sz w:val="26"/>
          <w:szCs w:val="26"/>
        </w:rPr>
      </w:r>
    </w:p>
    <w:p>
      <w:pPr>
        <w:pStyle w:val="Normal"/>
        <w:shd w:val="clear" w:color="auto" w:fill="FFFFFF"/>
        <w:spacing w:lineRule="auto" w:line="240" w:before="0" w:after="29"/>
        <w:ind w:hanging="0"/>
        <w:jc w:val="both"/>
        <w:rPr>
          <w:rFonts w:ascii="PT Astra Serif" w:hAnsi="PT Astra Serif"/>
          <w:color w:val="000000"/>
          <w:sz w:val="26"/>
          <w:szCs w:val="26"/>
        </w:rPr>
      </w:pPr>
      <w:r>
        <w:rPr>
          <w:rFonts w:ascii="PT Astra Serif" w:hAnsi="PT Astra Serif"/>
          <w:color w:val="000000"/>
          <w:sz w:val="26"/>
          <w:szCs w:val="26"/>
        </w:rPr>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Глава Буинского муниципального района,</w:t>
      </w:r>
    </w:p>
    <w:p>
      <w:pPr>
        <w:pStyle w:val="Normal"/>
        <w:shd w:val="clear" w:color="auto" w:fill="FFFFFF"/>
        <w:spacing w:lineRule="auto" w:line="240" w:before="0" w:after="29"/>
        <w:ind w:hanging="0"/>
        <w:jc w:val="both"/>
        <w:rPr>
          <w:sz w:val="26"/>
          <w:szCs w:val="26"/>
        </w:rPr>
      </w:pPr>
      <w:r>
        <w:rPr>
          <w:rFonts w:ascii="PT Astra Serif" w:hAnsi="PT Astra Serif"/>
          <w:color w:val="000000"/>
          <w:sz w:val="26"/>
          <w:szCs w:val="26"/>
        </w:rPr>
        <w:t xml:space="preserve">председатель Совета </w:t>
        <w:tab/>
        <w:tab/>
        <w:tab/>
        <w:tab/>
        <w:tab/>
        <w:tab/>
        <w:t>Р.Р. Камартдинов</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hanging="0" w:left="720"/>
      <w:contextualSpacing/>
    </w:pPr>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201</TotalTime>
  <Application>LibreOffice/7.6.7.2$Linux_X86_64 LibreOffice_project/60$Build-2</Application>
  <AppVersion>15.0000</AppVersion>
  <Pages>4</Pages>
  <Words>1018</Words>
  <Characters>7188</Characters>
  <CharactersWithSpaces>8201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2026-03-30T15:59:33Z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