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1.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831"/>
        <w:gridCol w:w="2115"/>
        <w:gridCol w:w="3924"/>
      </w:tblGrid>
      <w:tr>
        <w:trPr>
          <w:trHeight w:val="2205" w:hRule="atLeast"/>
        </w:trPr>
        <w:tc>
          <w:tcPr>
            <w:tcW w:w="383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  <w14:ligatures w14:val="standardContextual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auto" w:val="clear"/>
                <w14:ligatures w14:val="standardContextual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СЕЛЬСКОГО ПОСЕЛЕНИЯ</w:t>
            </w:r>
          </w:p>
        </w:tc>
        <w:tc>
          <w:tcPr>
            <w:tcW w:w="211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highlight w:val="none"/>
                <w:shd w:fill="auto" w:val="clear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auto" w:val="clear"/>
              </w:rPr>
              <w:t xml:space="preserve">                    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auto" w:val="clear"/>
              </w:rPr>
              <w:t>НОРЛАТ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left="0"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2"/>
        <w:gridCol w:w="5290"/>
      </w:tblGrid>
      <w:tr>
        <w:trPr>
          <w:trHeight w:val="1344" w:hRule="atLeast"/>
        </w:trPr>
        <w:tc>
          <w:tcPr>
            <w:tcW w:w="454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</w:rPr>
              <w:t>13 апреля 2026 года</w:t>
            </w:r>
          </w:p>
        </w:tc>
        <w:tc>
          <w:tcPr>
            <w:tcW w:w="52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eastAsia="Arial"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</w:rPr>
              <w:t xml:space="preserve">            № </w:t>
            </w:r>
            <w:r>
              <w:rPr>
                <w:rFonts w:eastAsia="Arial" w:cs="Arial" w:ascii="Liberation Sans" w:hAnsi="Liberation Sans"/>
                <w:sz w:val="24"/>
                <w:szCs w:val="24"/>
              </w:rPr>
              <w:t>3</w:t>
            </w:r>
          </w:p>
        </w:tc>
      </w:tr>
    </w:tbl>
    <w:p>
      <w:pPr>
        <w:pStyle w:val="Normal"/>
        <w:widowControl/>
        <w:spacing w:lineRule="auto" w:line="240" w:beforeAutospacing="0" w:before="0" w:afterAutospacing="0" w:after="0"/>
        <w:ind w:hanging="0" w:left="0" w:right="6576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                реализации изменений, внесенных постановлением Кабинета Министров Республики          Татарстан от 29.09.2025 № 776 «О внесении изменения в Порядок разработки и           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      Кабинета Министров Республики Татарстан от 28.02.2022 № 175 «Об утверждении             Порядка разработки и утверждения административных регламентов предоставления          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          Татарстан», Исполнительный комитет Нурлатского сельского поселения Буинского        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ab/>
        <w:t>1.Утвердить Административный регламент предоставления предоставления                муниципальной услуги по предоставлению мест для захоронения и их учёт, согласно          приложению.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                  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 xml:space="preserve">Нурлатского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сельского поселения</w:t>
      </w:r>
    </w:p>
    <w:p>
      <w:pPr>
        <w:pStyle w:val="Normal"/>
        <w:spacing w:lineRule="auto" w:line="240" w:before="0" w:after="0"/>
        <w:ind w:left="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Буинского муниципального района РТ </w:t>
      </w:r>
      <w:r>
        <w:rPr>
          <w:rFonts w:eastAsia="Arial" w:cs="Arial" w:ascii="Liberation Sans" w:hAnsi="Liberation Sans"/>
          <w:sz w:val="24"/>
          <w:szCs w:val="24"/>
          <w:shd w:fill="auto" w:val="clear"/>
        </w:rPr>
        <w:t xml:space="preserve">                                                   </w:t>
      </w:r>
      <w:r>
        <w:rPr>
          <w:rFonts w:eastAsia="Arial" w:cs="Arial" w:ascii="Liberation Sans" w:hAnsi="Liberation Sans"/>
          <w:sz w:val="24"/>
          <w:szCs w:val="24"/>
          <w:shd w:fill="auto" w:val="clear"/>
          <w14:ligatures w14:val="standardContextual"/>
        </w:rPr>
        <w:t xml:space="preserve"> М.Х Закиров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left="0" w:right="-1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    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Утвержден Постановлением                                               Исполнительного комитета </w:t>
      </w:r>
      <w:r>
        <w:rPr>
          <w:rFonts w:eastAsia="Arial" w:cs="Arial" w:ascii="Liberation Sans" w:hAnsi="Liberation Sans" w:cstheme="minorBidi"/>
          <w:sz w:val="24"/>
          <w:szCs w:val="24"/>
          <w:shd w:fill="auto" w:val="clear"/>
          <w14:ligatures w14:val="standardContextual"/>
        </w:rPr>
        <w:t>Нурлатского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left="0" w:right="-1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0" w:right="-1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</w:t>
      </w:r>
      <w:r>
        <w:rPr>
          <w:rFonts w:eastAsia="Arial" w:cs="Arial" w:ascii="Liberation Sans" w:hAnsi="Liberation Sans"/>
          <w:sz w:val="24"/>
          <w:szCs w:val="24"/>
          <w:shd w:fill="auto" w:val="clear"/>
        </w:rPr>
        <w:t xml:space="preserve">                 </w:t>
      </w:r>
      <w:r>
        <w:rPr>
          <w:rFonts w:eastAsia="Arial" w:cs="Arial" w:ascii="Liberation Sans" w:hAnsi="Liberation Sans"/>
          <w:sz w:val="24"/>
          <w:szCs w:val="24"/>
          <w:shd w:fill="auto" w:val="clear"/>
        </w:rPr>
        <w:t>от «13</w:t>
      </w:r>
      <w:r>
        <w:rPr>
          <w:rFonts w:eastAsia="Arial" w:cs="Arial" w:ascii="Liberation Sans" w:hAnsi="Liberation Sans"/>
          <w:sz w:val="24"/>
          <w:szCs w:val="24"/>
          <w:shd w:fill="auto" w:val="clear"/>
          <w14:ligatures w14:val="standardContextual"/>
        </w:rPr>
        <w:t>» апреля 2026 г. № 3</w:t>
      </w:r>
    </w:p>
    <w:p>
      <w:pPr>
        <w:pStyle w:val="ConsPlusTitle"/>
        <w:ind w:left="4395"/>
        <w:jc w:val="right"/>
        <w:rPr>
          <w:rFonts w:ascii="Liberation Sans" w:hAnsi="Liberation Sans" w:cs="Arial"/>
          <w:b w:val="false"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0" w:name="_Hlk202983295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FFFF00" w:val="clear"/>
        </w:rPr>
      </w:pPr>
      <w:bookmarkStart w:id="1" w:name="_Toc206171363"/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Arial"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              регламент) устанавливает порядок и стандарт предоставления услуги в сфере                      организации и исполнения процессов похоронной деятельности, в том числе с                      использованием Федеральной государственной информационной системы «Единая          система предоставления государственных и муниципальных услуг (сервисов)»,                 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            системах, обеспечивающих предоставление в электронной форме государственных и            муниципальных услуг (осуществление функций)» (далее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–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       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требования к предоставлению муниципальной услуги, включая состав,                 последовательность и сроки выполнения административных процедур, требования к         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                      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 процедуру осуществления межведомственного информационного                                 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е)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  <w:shd w:fill="FFFF00" w:val="clear"/>
        </w:rPr>
        <w:t>Наименование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 xml:space="preserve">4. 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  <w:shd w:fill="FFFF00" w:val="clear"/>
        </w:rPr>
        <w:t> </w:t>
      </w:r>
      <w:r>
        <w:rPr>
          <w:rFonts w:eastAsia="Arial" w:cs="Arial" w:ascii="Liberation Sans" w:hAnsi="Liberation Sans"/>
          <w:b w:val="false"/>
          <w:bCs w:val="false"/>
          <w:i w:val="false"/>
          <w:iCs w:val="false"/>
          <w:sz w:val="24"/>
          <w:szCs w:val="24"/>
          <w:shd w:fill="FFFF00" w:val="clear"/>
        </w:rPr>
        <w:t xml:space="preserve">Наименование органа, предоставляющего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 w:val="false"/>
          <w:iCs w:val="false"/>
          <w:sz w:val="24"/>
          <w:szCs w:val="24"/>
          <w:shd w:fill="FFFF00" w:val="clear"/>
        </w:rPr>
        <w:t xml:space="preserve">5.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Муниципальную услугу</w:t>
      </w:r>
      <w:r>
        <w:rPr>
          <w:rFonts w:eastAsia="Arial" w:cs="Arial" w:ascii="Liberation Sans" w:hAnsi="Liberation Sans"/>
          <w:i w:val="false"/>
          <w:iCs w:val="false"/>
          <w:sz w:val="24"/>
          <w:szCs w:val="24"/>
          <w:shd w:fill="FFFF00" w:val="clear"/>
        </w:rPr>
        <w:t xml:space="preserve"> предоставляет Исполнительный комитет </w:t>
      </w:r>
      <w:r>
        <w:rPr>
          <w:rFonts w:eastAsia="Arial" w:cs="Arial" w:ascii="Liberation Sans" w:hAnsi="Liberation Sans"/>
          <w:i w:val="false"/>
          <w:iCs w:val="false"/>
          <w:sz w:val="24"/>
          <w:szCs w:val="24"/>
          <w:shd w:fill="auto" w:val="clear"/>
        </w:rPr>
        <w:t xml:space="preserve">Нурлатского </w:t>
      </w:r>
      <w:r>
        <w:rPr>
          <w:rFonts w:eastAsia="Arial" w:cs="Arial" w:ascii="Liberation Sans" w:hAnsi="Liberation Sans"/>
          <w:i w:val="false"/>
          <w:iCs w:val="false"/>
          <w:sz w:val="24"/>
          <w:szCs w:val="24"/>
          <w:shd w:fill="FFFF00" w:val="clear"/>
        </w:rPr>
        <w:t>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 w:val="false"/>
          <w:iCs w:val="false"/>
          <w:sz w:val="24"/>
          <w:szCs w:val="24"/>
          <w:shd w:fill="FFFF00" w:val="clear"/>
        </w:rPr>
        <w:t xml:space="preserve">6.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Результатами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при подаче заявления через Единый портал, Республиканский портал – в форме электронного документа, подписанного усиленной 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з)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 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Муниципальная услуга «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FFFF00" w:val="clear"/>
        </w:rPr>
      </w:pPr>
      <w:bookmarkEnd w:id="0"/>
      <w:r>
        <w:rPr>
          <w:rFonts w:eastAsia="Arial" w:cs="Arial" w:ascii="Liberation Sans" w:hAnsi="Liberation Sans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jc w:val="left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 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 w:left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hanging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ind w:hanging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Liberation Sans" w:hAnsi="Liberation Sans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eastAsia="Arial" w:cs="Arial" w:ascii="Liberation Sans" w:hAnsi="Liberation Sans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eastAsia="Arial" w:cs="Arial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 xml:space="preserve">– </w:t>
      </w:r>
      <w:r>
        <w:rPr>
          <w:rFonts w:eastAsia="Arial" w:cs="Arial" w:ascii="Liberation Sans" w:hAnsi="Liberation Sans"/>
          <w:b w:val="false"/>
          <w:bCs w:val="false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End w:id="2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</w:t>
      </w:r>
      <w:bookmarkStart w:id="3" w:name="undefined_Копия_1"/>
      <w:bookmarkEnd w:id="3"/>
      <w:r>
        <w:rPr>
          <w:rFonts w:eastAsia="Arial" w:cs="Arial" w:ascii="Liberation Sans" w:hAnsi="Liberation Sans"/>
          <w:sz w:val="24"/>
          <w:szCs w:val="24"/>
          <w:shd w:fill="FFFF00" w:val="clear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</w:rPr>
        <w:t>://uslugi.tatarsta</w:t>
      </w: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eastAsia="Arial" w:cs="Arial" w:ascii="Liberation Sans" w:hAnsi="Liberation Sans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eastAsia="Arial" w:cs="Arial" w:ascii="Liberation Sans" w:hAnsi="Liberation Sans"/>
          <w:i w:val="false"/>
          <w:iCs w:val="false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 w:val="false"/>
          <w:iCs w:val="false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4109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Результат предоставления услуги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Актуализированная выписка из реестра мест захоронений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MS Mincho" w:cs="Arial"/>
                <w:sz w:val="24"/>
                <w:szCs w:val="24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MS Mincho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hanging="0" w:right="-1"/>
        <w:jc w:val="lef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hanging="0" w:right="-1"/>
        <w:jc w:val="lef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hanging="0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shd w:fill="FFFF00" w:val="clear"/>
                <w:lang w:val="ru-RU" w:eastAsia="en-US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eastAsia="Arial" w:cs="Arial"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shd w:fill="FFFF00" w:val="clear"/>
                <w:lang w:val="ru-RU" w:eastAsia="en-US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  <w:lang w:val="ru-RU" w:eastAsia="en-US" w:bidi="ar-SA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val="ru-RU" w:eastAsia="en-US" w:bidi="ar-SA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5" w:name="undefined_Копия_3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5</w:t>
      </w:r>
      <w:bookmarkStart w:id="6" w:name="undefined_Копия_4"/>
      <w:bookmarkEnd w:id="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7" w:name="undefined_Копия_5"/>
      <w:bookmarkEnd w:id="6"/>
      <w:bookmarkEnd w:id="7"/>
      <w:r>
        <w:rPr>
          <w:rFonts w:eastAsia="Arial" w:cs="Arial" w:ascii="Liberation Sans" w:hAnsi="Liberation Sans"/>
          <w:b/>
          <w:color w:val="000000"/>
          <w:sz w:val="24"/>
          <w:szCs w:val="24"/>
          <w:shd w:fill="FFFF00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b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/>
          <w:color w:val="000000"/>
          <w:sz w:val="24"/>
          <w:szCs w:val="24"/>
          <w:shd w:fill="FFFF00" w:val="clear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b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b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8" w:name="undefined_Копия_6"/>
      <w:bookmarkStart w:id="9" w:name="undefined_Копия_5_Копия_1"/>
      <w:bookmarkEnd w:id="8"/>
      <w:bookmarkEnd w:id="9"/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Arial" w:cs="Arial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  <w:bookmarkStart w:id="10" w:name="undefined_Копия_7"/>
      <w:bookmarkStart w:id="11" w:name="undefined_Копия_6_Копия_1"/>
      <w:bookmarkStart w:id="12" w:name="undefined_Копия_7"/>
      <w:bookmarkStart w:id="13" w:name="undefined_Копия_6_Копия_1"/>
      <w:bookmarkEnd w:id="13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0"/>
        <w:gridCol w:w="3402"/>
        <w:gridCol w:w="283"/>
        <w:gridCol w:w="2560"/>
        <w:gridCol w:w="235"/>
        <w:gridCol w:w="1267"/>
        <w:gridCol w:w="233"/>
        <w:gridCol w:w="1091"/>
      </w:tblGrid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№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</w:t>
              <w:br/>
            </w: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4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09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4" w:name="undefined_Копия_8"/>
      <w:bookmarkEnd w:id="12"/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захоронений:</w:t>
      </w:r>
      <w:bookmarkStart w:id="15" w:name="undefined_Копия_9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End w:id="15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6</w:t>
      </w:r>
      <w:bookmarkStart w:id="16" w:name="undefined_Копия_10"/>
      <w:bookmarkEnd w:id="1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left"/>
        <w:rPr>
          <w:rFonts w:ascii="Liberation Sans" w:hAnsi="Liberation Sans" w:eastAsia="Arial" w:cs="Arial"/>
          <w:b/>
          <w:b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lef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 xml:space="preserve">                                                                    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00B0F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bookmarkStart w:id="17" w:name="undefined_Копия_11"/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родственное</w:t>
      </w:r>
      <w:bookmarkEnd w:id="17"/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 xml:space="preserve">, </w:t>
      </w:r>
      <w:bookmarkStart w:id="18" w:name="undefined_Копия_12"/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семейное(родовое)</w:t>
      </w:r>
      <w:bookmarkEnd w:id="18"/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00B0F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color w:val="00B0F0"/>
          <w:sz w:val="24"/>
          <w:szCs w:val="24"/>
          <w:highlight w:val="none"/>
          <w:u w:val="singl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u w:val="single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B0F0"/>
          <w:sz w:val="24"/>
          <w:szCs w:val="24"/>
          <w:highlight w:val="none"/>
          <w:u w:val="singl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u w:val="single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Start w:id="19" w:name="undefined_Копия_14"/>
      <w:bookmarkStart w:id="20" w:name="undefined_Копия_13"/>
      <w:bookmarkEnd w:id="20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End w:id="19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7</w:t>
      </w:r>
      <w:bookmarkStart w:id="21" w:name="undefined_Копия_15"/>
      <w:bookmarkEnd w:id="21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</w:rPr>
      </w:r>
      <w:bookmarkStart w:id="22" w:name="undefined_Копия_16"/>
      <w:bookmarkStart w:id="23" w:name="undefined_Копия_16"/>
      <w:bookmarkEnd w:id="23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4" w:name="undefined_Копия_17"/>
      <w:bookmarkEnd w:id="24"/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0"/>
        <w:gridCol w:w="284"/>
        <w:gridCol w:w="1842"/>
      </w:tblGrid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196B24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96B24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ru-RU" w:bidi="ar-SA"/>
              </w:rPr>
              <w:t xml:space="preserve">(наименование </w:t>
            </w: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региона</w:t>
            </w: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ru-RU" w:bidi="ar-SA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cs="Arial"/>
          <w:bCs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Cs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bCs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Cs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  <w:bookmarkStart w:id="25" w:name="undefined_Копия_18"/>
      <w:bookmarkEnd w:id="25"/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26" w:name="undefined_Копия_19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7.1</w:t>
      </w:r>
      <w:bookmarkStart w:id="27" w:name="undefined_Копия_20"/>
      <w:bookmarkEnd w:id="2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283"/>
        <w:gridCol w:w="2269"/>
        <w:gridCol w:w="282"/>
        <w:gridCol w:w="1559"/>
        <w:gridCol w:w="286"/>
        <w:gridCol w:w="1699"/>
      </w:tblGrid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смерти</w:t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Причина эксгумации/перезахоронения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Arial" w:cs="Arial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 населенном пункте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ab/>
      </w: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End w:id="27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7.2</w:t>
      </w:r>
      <w:bookmarkStart w:id="28" w:name="undefined_Копия_21"/>
      <w:bookmarkEnd w:id="2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6"/>
        <w:gridCol w:w="3732"/>
      </w:tblGrid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00B0F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00B0F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color w:val="00B0F0"/>
          <w:sz w:val="24"/>
          <w:szCs w:val="24"/>
          <w:highlight w:val="none"/>
          <w:u w:val="singl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u w:val="single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B0F0"/>
          <w:sz w:val="24"/>
          <w:szCs w:val="24"/>
          <w:highlight w:val="none"/>
          <w:u w:val="single"/>
          <w:shd w:fill="FFFF00" w:val="clear"/>
          <w14:ligatures w14:val="none"/>
        </w:rPr>
      </w:pPr>
      <w:r>
        <w:rPr>
          <w:rFonts w:cs="Arial" w:ascii="Liberation Sans" w:hAnsi="Liberation Sans"/>
          <w:color w:val="00B0F0"/>
          <w:sz w:val="24"/>
          <w:szCs w:val="24"/>
          <w:u w:val="single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6"/>
        <w:gridCol w:w="2551"/>
        <w:gridCol w:w="237"/>
        <w:gridCol w:w="1264"/>
        <w:gridCol w:w="238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город, улица, дом, квартира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55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29" w:name="undefined_Копия_22"/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29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0" w:name="undefined_Копия_23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8</w:t>
      </w:r>
      <w:bookmarkStart w:id="31" w:name="undefined_Копия_24"/>
      <w:bookmarkEnd w:id="30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bCs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Cs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End w:id="31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9</w:t>
      </w:r>
      <w:bookmarkStart w:id="32" w:name="undefined_Копия_25"/>
      <w:bookmarkEnd w:id="3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6"/>
        <w:gridCol w:w="326"/>
        <w:gridCol w:w="3444"/>
      </w:tblGrid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>
          <w:trHeight w:val="90" w:hRule="atLeast"/>
        </w:trPr>
        <w:tc>
          <w:tcPr>
            <w:tcW w:w="16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770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000000"/>
          <w:sz w:val="24"/>
          <w:szCs w:val="24"/>
          <w:highlight w:val="none"/>
          <w:u w:val="singl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u w:val="single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3" w:name="undefined_Копия_26"/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3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34" w:name="undefined_Копия_27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9.1</w:t>
      </w:r>
      <w:bookmarkStart w:id="35" w:name="undefined_Копия_28"/>
      <w:bookmarkEnd w:id="34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«Заявление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3"/>
        <w:gridCol w:w="3402"/>
      </w:tblGrid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02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000000"/>
          <w:sz w:val="24"/>
          <w:szCs w:val="24"/>
          <w:highlight w:val="none"/>
          <w:u w:val="singl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u w:val="single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cs="Arial"/>
          <w:color w:val="000000"/>
          <w:sz w:val="24"/>
          <w:szCs w:val="24"/>
          <w:highlight w:val="none"/>
          <w:u w:val="singl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u w:val="single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b/>
          <w:b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Arial" w:cs="Arial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single"/>
                <w:shd w:fill="FFFF00" w:val="clear"/>
                <w:vertAlign w:val="baseline"/>
                <w:lang w:val="ru-RU" w:eastAsia="zh-CN" w:bidi="ar-SA"/>
              </w:rPr>
              <w:t>___________</w:t>
            </w:r>
            <w:r>
              <w:rPr>
                <w:rFonts w:eastAsia="Arial" w:cs="Arial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zh-CN" w:bidi="ar-SA"/>
              </w:rPr>
              <w:t>СН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6" w:name="undefined_Копия_29"/>
      <w:bookmarkEnd w:id="35"/>
      <w:bookmarkEnd w:id="36"/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Arial" w:cs="Arial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color w:val="FF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FF0000"/>
          <w:sz w:val="24"/>
          <w:szCs w:val="24"/>
          <w:shd w:fill="FFFF00" w:val="clear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6"/>
        <w:gridCol w:w="2108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6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5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0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7" w:name="undefined_Копия_30"/>
      <w:bookmarkEnd w:id="37"/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8" w:name="undefined_Копия_31"/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10</w:t>
      </w:r>
      <w:bookmarkStart w:id="39" w:name="undefined_Копия_32"/>
      <w:bookmarkEnd w:id="38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0" w:name="undefined_Копия_33"/>
            <w:bookmarkEnd w:id="39"/>
            <w:bookmarkEnd w:id="40"/>
            <w:r>
              <w:rPr>
                <w:rFonts w:eastAsia="Arial" w:cs="Arial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1" w:name="undefined_Копия_34"/>
            <w:bookmarkStart w:id="42" w:name="undefined_Копия_33_Копия_1"/>
            <w:bookmarkEnd w:id="41"/>
            <w:bookmarkEnd w:id="42"/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3" w:name="undefined_Копия_35"/>
            <w:bookmarkStart w:id="44" w:name="undefined_Копия_34_Копия_1"/>
            <w:bookmarkEnd w:id="43"/>
            <w:bookmarkEnd w:id="44"/>
            <w:r>
              <w:rPr>
                <w:rFonts w:eastAsia="Arial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5" w:name="undefined_Копия_36"/>
            <w:bookmarkStart w:id="46" w:name="undefined_Копия_35_Копия_1"/>
            <w:bookmarkEnd w:id="45"/>
            <w:bookmarkEnd w:id="46"/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7" w:name="undefined_Копия_36_Копия_1"/>
            <w:bookmarkEnd w:id="47"/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vertAlign w:val="superscript"/>
                <w:lang w:val="ru-RU" w:eastAsia="ru-RU" w:bidi="ar-SA"/>
              </w:rPr>
              <w:t>2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Arial" w:cs="Arial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Arial"/>
          <w:color w:themeColor="text1"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themeColor="text1" w:val="000000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Arial"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FF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FF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FF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FF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FF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FF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FF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FF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cs="Arial"/>
          <w:b/>
          <w:b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Arial" w:cs="Arial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Arial" w:cs="Arial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Arial" w:cs="Arial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заявителя</w:t>
              <w:br/>
            </w: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ru-RU" w:bidi="ar-SA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12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участка</w:t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Размер места захоронения (м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vertAlign w:val="superscript"/>
                <w:lang w:val="ru-RU" w:eastAsia="ru-RU" w:bidi="ar-SA"/>
              </w:rPr>
              <w:t>2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Сведения о перезахоронении (изъятии урны с прахом):</w:t>
              <w:br/>
            </w: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Arial" w:cs="Arial" w:ascii="Liberation Sans" w:hAnsi="Liberation Sans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6"/>
        <w:gridCol w:w="283"/>
        <w:gridCol w:w="2134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zh-CN" w:bidi="ar-SA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7"/>
              </w:numPr>
              <w:spacing w:lineRule="auto" w:line="240" w:before="0" w:after="0"/>
              <w:ind w:hanging="360" w:left="36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56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en-US" w:bidi="ar-SA"/>
              </w:rPr>
              <w:t>I</w:t>
            </w: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III. Сведения о месте захоронения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ru-RU" w:bidi="ar-SA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footerReference w:type="default" r:id="rId12"/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</w:rPr>
        <w:tab/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eastAsia="Arial" w:cs="Arial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5"/>
        <w:gridCol w:w="242"/>
        <w:gridCol w:w="1381"/>
        <w:gridCol w:w="245"/>
        <w:gridCol w:w="1674"/>
        <w:gridCol w:w="249"/>
        <w:gridCol w:w="1665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I</w:t>
            </w: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en-US" w:eastAsia="en-US" w:bidi="ar-SA"/>
              </w:rPr>
              <w:t>V</w:t>
            </w:r>
            <w:r>
              <w:rPr>
                <w:rFonts w:eastAsia="Arial" w:cs="Arial" w:ascii="Liberation Sans" w:hAnsi="Liberation Sans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. Сведения о захороненных: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Дата смерти</w:t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 xml:space="preserve">№ </w:t>
            </w: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1D1D20"/>
                <w:spacing w:val="-5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6"/>
              </w:numPr>
              <w:spacing w:lineRule="auto" w:line="240" w:before="0" w:after="0"/>
              <w:ind w:hanging="360" w:left="360" w:right="0"/>
              <w:contextualSpacing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Arial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color w:val="000000"/>
          <w:sz w:val="24"/>
          <w:szCs w:val="24"/>
          <w:shd w:fill="FFFF00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sectPr>
          <w:footerReference w:type="default" r:id="rId13"/>
          <w:footerReference w:type="first" r:id="rId14"/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Arial"/>
          <w:b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b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/>
          <w:bCs/>
          <w:sz w:val="24"/>
          <w:szCs w:val="24"/>
          <w:shd w:fill="FFFF00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Arial" w:cs="Arial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cs="Arial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Arial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cs="Arial"/>
          <w:sz w:val="24"/>
          <w:szCs w:val="24"/>
          <w:highlight w:val="none"/>
          <w:shd w:fill="FFFF00" w:val="clear"/>
          <w14:ligatures w14:val="none"/>
        </w:rPr>
      </w:pPr>
      <w:r>
        <w:rPr>
          <w:rFonts w:cs="Arial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rial" w:cs="Arial" w:ascii="Liberation Sans" w:hAnsi="Liberation Sans"/>
                <w:b w:val="false"/>
                <w:bCs/>
                <w:i/>
                <w:iCs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position w:val="0"/>
                <w:sz w:val="24"/>
                <w:sz w:val="24"/>
                <w:szCs w:val="24"/>
                <w:u w:val="none"/>
                <w:shd w:fill="FFFF00" w:val="clear"/>
                <w:vertAlign w:val="baseline"/>
                <w:lang w:val="ru-RU" w:eastAsia="en-US" w:bidi="ar-SA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rial" w:cs="Arial" w:ascii="Liberation Sans" w:hAnsi="Liberation Sans"/>
          <w:sz w:val="24"/>
          <w:szCs w:val="24"/>
          <w:shd w:fill="FFFF00" w:val="clear"/>
        </w:rPr>
        <w:t>КОНЕЦ ФОРМЫ</w:t>
      </w:r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59" w:beforeAutospacing="0" w:before="0" w:afterAutospacing="0" w:after="160"/>
      <w:jc w:val="lef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60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styleId="78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CC6959-0386-5D44-AE5B-38CB3506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LibreOffice/7.6.7.2$Linux_X86_64 LibreOffice_project/60$Build-2</Application>
  <AppVersion>15.0000</AppVersion>
  <Pages>58</Pages>
  <Words>8703</Words>
  <Characters>67182</Characters>
  <CharactersWithSpaces>75821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dcterms:modified xsi:type="dcterms:W3CDTF">2026-04-14T15:41:44Z</dcterms:modified>
  <cp:revision>240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