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8"/>
        <w:gridCol w:w="2378"/>
        <w:gridCol w:w="3924"/>
      </w:tblGrid>
      <w:tr>
        <w:trPr>
          <w:trHeight w:val="2205" w:hRule="atLeast"/>
        </w:trPr>
        <w:tc>
          <w:tcPr>
            <w:tcW w:w="356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НИЖНЕНАРАТБАШСКОГО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СЕЛЬСКОГО ПОСЕЛЕНИЯ</w:t>
            </w:r>
          </w:p>
        </w:tc>
        <w:tc>
          <w:tcPr>
            <w:tcW w:w="237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ТҮБӘН НАРАТБАШ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1"/>
        <w:gridCol w:w="5291"/>
      </w:tblGrid>
      <w:tr>
        <w:trPr>
          <w:trHeight w:val="1344" w:hRule="atLeast"/>
        </w:trPr>
        <w:tc>
          <w:tcPr>
            <w:tcW w:w="454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/>
            </w:r>
          </w:p>
        </w:tc>
        <w:tc>
          <w:tcPr>
            <w:tcW w:w="52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    </w:t>
            </w:r>
          </w:p>
        </w:tc>
      </w:tr>
    </w:tbl>
    <w:p>
      <w:pPr>
        <w:pStyle w:val="Normal"/>
        <w:spacing w:lineRule="auto" w:line="240" w:before="0" w:after="0"/>
        <w:ind w:right="6576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>
        <w:rPr>
          <w:rFonts w:cs="Arial" w:ascii="Arial" w:hAnsi="Arial"/>
          <w:sz w:val="24"/>
          <w:szCs w:val="24"/>
          <w:shd w:fill="auto" w:val="clear"/>
          <w:lang w:val="tt-RU"/>
        </w:rPr>
        <w:t>Ни</w:t>
      </w:r>
      <w:r>
        <w:rPr>
          <w:rFonts w:cs="Arial" w:ascii="Arial" w:hAnsi="Arial"/>
          <w:sz w:val="24"/>
          <w:szCs w:val="24"/>
          <w:shd w:fill="auto" w:val="clear"/>
        </w:rPr>
        <w:t>ж</w:t>
      </w:r>
      <w:r>
        <w:rPr>
          <w:rFonts w:cs="Arial" w:ascii="Arial" w:hAnsi="Arial"/>
          <w:sz w:val="24"/>
          <w:szCs w:val="24"/>
          <w:shd w:fill="auto" w:val="clear"/>
          <w:lang w:val="tt-RU"/>
        </w:rPr>
        <w:t>ненаратбашского</w:t>
      </w:r>
      <w:r>
        <w:rPr>
          <w:rFonts w:cs="Arial" w:ascii="Arial" w:hAnsi="Arial"/>
          <w:sz w:val="24"/>
          <w:szCs w:val="24"/>
          <w:shd w:fill="auto" w:val="clear"/>
        </w:rPr>
        <w:t xml:space="preserve">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ab/>
        <w:t>1.Утвердить Административный регламент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Нижненаратбашского сельского поселения</w:t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Буинского муниципального района РТ                                               Р.Н.Шарафутдинов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                                                                                  </w:t>
      </w:r>
      <w:r>
        <w:rPr>
          <w:rFonts w:cs="Arial" w:ascii="Arial" w:hAnsi="Arial"/>
          <w:sz w:val="24"/>
          <w:szCs w:val="24"/>
          <w:shd w:fill="auto" w:val="clear"/>
        </w:rPr>
        <w:t xml:space="preserve">Утвержден Постановлением Исполнительного комитета Нижненаратбашского 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                                                                                   </w:t>
      </w:r>
      <w:r>
        <w:rPr>
          <w:rFonts w:cs="Arial" w:ascii="Arial" w:hAnsi="Arial"/>
          <w:sz w:val="24"/>
          <w:szCs w:val="24"/>
          <w:shd w:fill="auto" w:val="clear"/>
        </w:rPr>
        <w:t>от «13» апреля 2026 г. № 4</w:t>
      </w:r>
    </w:p>
    <w:p>
      <w:pPr>
        <w:pStyle w:val="ConsPlusTitle"/>
        <w:ind w:left="4395"/>
        <w:jc w:val="right"/>
        <w:rPr>
          <w:rFonts w:ascii="Times New Roman" w:hAnsi="Times New Roman" w:cs="Times New Roman"/>
          <w:b w:val="false"/>
          <w:bCs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/>
          <w:bCs/>
          <w:sz w:val="28"/>
          <w:szCs w:val="28"/>
          <w:shd w:fill="auto" w:val="clear"/>
        </w:rPr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Административный регламент </w:t>
      </w:r>
    </w:p>
    <w:p>
      <w:pPr>
        <w:pStyle w:val="ConsPlusTitle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предоставления муниципальной услуги по </w:t>
      </w:r>
      <w:bookmarkStart w:id="2" w:name="_Hlk202983295"/>
      <w:r>
        <w:rPr>
          <w:rFonts w:cs="Arial" w:ascii="Arial" w:hAnsi="Arial"/>
          <w:sz w:val="24"/>
          <w:szCs w:val="24"/>
          <w:shd w:fill="auto" w:val="clear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highlight w:val="none"/>
          <w:shd w:fill="auto" w:val="clear"/>
        </w:rPr>
      </w:pPr>
      <w:bookmarkStart w:id="3" w:name="_Toc206171363"/>
      <w:r>
        <w:rPr>
          <w:rFonts w:cs="Arial" w:ascii="Arial" w:hAnsi="Arial"/>
          <w:b/>
          <w:bCs/>
          <w:sz w:val="24"/>
          <w:szCs w:val="24"/>
          <w:shd w:fill="auto" w:val="clear"/>
        </w:rPr>
        <w:t>I. Общие положения</w:t>
      </w:r>
      <w:bookmarkEnd w:id="3"/>
    </w:p>
    <w:p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Arial" w:hAnsi="Arial"/>
          <w:sz w:val="24"/>
          <w:szCs w:val="24"/>
          <w:shd w:fill="auto" w:val="clear"/>
        </w:rPr>
        <w:t>–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</w:t>
      </w:r>
      <w:r>
        <w:rPr>
          <w:rFonts w:cs="Arial" w:ascii="Arial" w:hAnsi="Arial"/>
          <w:sz w:val="24"/>
          <w:szCs w:val="24"/>
          <w:shd w:fill="auto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</w:t>
      </w:r>
      <w:r>
        <w:rPr>
          <w:rFonts w:cs="Arial" w:ascii="Arial" w:hAnsi="Arial"/>
          <w:sz w:val="24"/>
          <w:szCs w:val="24"/>
          <w:shd w:fill="auto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</w:t>
      </w:r>
      <w:r>
        <w:rPr>
          <w:rFonts w:cs="Arial" w:ascii="Arial" w:hAnsi="Arial"/>
          <w:sz w:val="24"/>
          <w:szCs w:val="24"/>
          <w:shd w:fill="auto" w:val="clear"/>
          <w:lang w:val="en-US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2. Заявителями на получение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3. Муниципальная услуга</w:t>
      </w:r>
      <w:r>
        <w:rPr>
          <w:rFonts w:eastAsia="Times New Roman" w:cs="Arial" w:ascii="Arial" w:hAnsi="Arial"/>
          <w:sz w:val="24"/>
          <w:szCs w:val="24"/>
          <w:shd w:fill="auto" w:val="clear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4. 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5. Муниципальную услугу предоставляет Исполнительный комитет Нижненаратбашского сельского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bCs/>
          <w:i/>
          <w:i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Cs/>
          <w:i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6. Результатами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Arial" w:hAnsi="Arial"/>
          <w:sz w:val="24"/>
          <w:szCs w:val="24"/>
          <w:shd w:fill="auto" w:val="clear"/>
        </w:rPr>
        <w:t xml:space="preserve">усиленной </w:t>
      </w:r>
      <w:r>
        <w:rPr>
          <w:rFonts w:cs="Arial" w:ascii="Arial" w:hAnsi="Arial"/>
          <w:sz w:val="24"/>
          <w:szCs w:val="24"/>
          <w:shd w:fill="auto" w:val="clear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8. Срок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з)</w:t>
      </w: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Муниципальная услуга «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Arial" w:ascii="Arial" w:hAnsi="Arial"/>
          <w:sz w:val="24"/>
          <w:szCs w:val="24"/>
          <w:shd w:fill="auto" w:val="clear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bookmarkEnd w:id="2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4" w:name="undefined"/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 </w:t>
      </w:r>
      <w:r>
        <w:rPr>
          <w:rFonts w:cs="Arial" w:ascii="Arial" w:hAnsi="Arial"/>
          <w:sz w:val="24"/>
          <w:szCs w:val="24"/>
          <w:shd w:fill="auto" w:val="clear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основание обращения (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получение места для захоронения под погребение умершего на новом месте, </w:t>
      </w:r>
      <w:r>
        <w:rPr>
          <w:rFonts w:cs="Arial" w:ascii="Arial" w:hAnsi="Arial"/>
          <w:sz w:val="24"/>
          <w:szCs w:val="24"/>
          <w:shd w:fill="auto" w:val="clear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 оформление </w:t>
      </w:r>
      <w:r>
        <w:rPr>
          <w:rFonts w:cs="Arial" w:ascii="Arial" w:hAnsi="Arial"/>
          <w:sz w:val="24"/>
          <w:szCs w:val="24"/>
          <w:shd w:fill="auto" w:val="clear"/>
        </w:rPr>
        <w:t>разрешения на проведение перезахоронения останков умершего,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</w:rPr>
        <w:t>получение сведений из реестра мест захоронений,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sz w:val="24"/>
          <w:szCs w:val="24"/>
          <w:shd w:fill="auto" w:val="clear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точное определение муниципальной услуги в соответствии с целью обращения (</w:t>
      </w:r>
      <w:r>
        <w:rPr>
          <w:rFonts w:eastAsia="Arial" w:cs="Arial" w:ascii="Arial" w:hAnsi="Arial" w:eastAsiaTheme="minorEastAsia"/>
          <w:sz w:val="24"/>
          <w:szCs w:val="24"/>
          <w:shd w:fill="auto" w:val="clear"/>
        </w:rPr>
        <w:t>предоставление места для захоронения под погребение умершего на новом месте,</w:t>
      </w:r>
      <w:r>
        <w:rPr>
          <w:rFonts w:cs="Arial" w:ascii="Arial" w:hAnsi="Arial"/>
          <w:sz w:val="24"/>
          <w:szCs w:val="24"/>
          <w:shd w:fill="auto" w:val="clear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auto" w:val="clear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https://lkuv.gosuslugi.ru/paip-portal/#/inquiries/card/f2d2a2ca-4c5a-4478-8239-fff357f90b65</w:t>
        </w:r>
      </w:hyperlink>
      <w:r>
        <w:rPr>
          <w:rFonts w:cs="Arial" w:ascii="Arial" w:hAnsi="Arial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auto" w:val="clear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https://lkuv.gosuslugi.ru/paip-portal/#/inquiries/card/dd08b437-d9cd-11eb-87f2-6dd2d98a56b1</w:t>
        </w:r>
      </w:hyperlink>
      <w:r>
        <w:rPr>
          <w:rFonts w:cs="Arial" w:ascii="Arial" w:hAnsi="Arial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auto" w:val="clear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auto" w:val="clear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https://lkuv.gosuslugi.ru/paip-portal/#/inquiries/card/63780a7c-ff80-11eb-ba23-33408f10c8dc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https://lkuv.gosuslugi.ru/paip-portal/#/inquiries/card/63780a85-ff80-11eb-ba23-33408f10c8dc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https://lkuv.gosuslugi.ru/paip-portal/#/inquiries/card/63780a87-ff80-11eb-ba23-33408f10c8dc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Arial" w:hAnsi="Arial"/>
          <w:sz w:val="24"/>
          <w:szCs w:val="24"/>
          <w:shd w:fill="auto" w:val="clear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Arial" w:ascii="Arial" w:hAnsi="Arial"/>
            <w:sz w:val="24"/>
            <w:szCs w:val="24"/>
            <w:shd w:fill="auto" w:val="clear"/>
          </w:rPr>
          <w:t>https://lkuv.gosuslugi.ru/paip-portal/#/inquiries/card/637a0579-ff80-11eb-ba23-33408f10c8dc</w:t>
        </w:r>
      </w:hyperlink>
      <w:r>
        <w:rPr>
          <w:rFonts w:cs="Arial" w:ascii="Arial" w:hAnsi="Arial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nformat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– </w:t>
      </w:r>
      <w:r>
        <w:rPr>
          <w:rFonts w:cs="Arial" w:ascii="Arial" w:hAnsi="Arial"/>
          <w:sz w:val="24"/>
          <w:szCs w:val="24"/>
          <w:shd w:fill="auto" w:val="clear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– </w:t>
      </w:r>
      <w:r>
        <w:rPr>
          <w:rFonts w:cs="Arial" w:ascii="Arial" w:hAnsi="Arial"/>
          <w:sz w:val="24"/>
          <w:szCs w:val="24"/>
          <w:shd w:fill="auto" w:val="clear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– </w:t>
      </w:r>
      <w:r>
        <w:rPr>
          <w:rFonts w:cs="Arial" w:ascii="Arial" w:hAnsi="Arial"/>
          <w:sz w:val="24"/>
          <w:szCs w:val="24"/>
          <w:shd w:fill="auto" w:val="clear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– </w:t>
      </w:r>
      <w:r>
        <w:rPr>
          <w:rFonts w:cs="Arial" w:ascii="Arial" w:hAnsi="Arial"/>
          <w:sz w:val="24"/>
          <w:szCs w:val="24"/>
          <w:shd w:fill="auto" w:val="clear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bookmarkEnd w:id="4"/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</w:t>
      </w:r>
      <w:bookmarkStart w:id="5" w:name="undefined_Копия_1"/>
      <w:bookmarkEnd w:id="5"/>
      <w:r>
        <w:rPr>
          <w:rFonts w:cs="Arial" w:ascii="Arial" w:hAnsi="Arial"/>
          <w:sz w:val="24"/>
          <w:szCs w:val="24"/>
          <w:shd w:fill="auto" w:val="clear"/>
        </w:rPr>
        <w:t>ние № 1</w:t>
      </w:r>
      <w:bookmarkStart w:id="6" w:name="undefined_Копия_2"/>
      <w:bookmarkEnd w:id="6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auto" w:val="clear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Arial" w:hAnsi="Arial" w:cs="Arial"/>
          <w:bCs/>
          <w:i/>
          <w:i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Cs/>
          <w:i/>
          <w:color w:val="000000"/>
          <w:spacing w:val="-6"/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>Портал государственных и муниципальных услуг Республики Татарстан (http</w:t>
      </w:r>
      <w:r>
        <w:rPr>
          <w:rFonts w:cs="Arial" w:ascii="Arial" w:hAnsi="Arial"/>
          <w:spacing w:val="1"/>
          <w:sz w:val="24"/>
          <w:szCs w:val="24"/>
          <w:shd w:fill="auto" w:val="clear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  <w:shd w:fill="auto" w:val="clear"/>
        </w:rPr>
        <w:t>://uslugi.tatarsta</w:t>
      </w:r>
      <w:r>
        <w:rPr>
          <w:rFonts w:cs="Arial" w:ascii="Arial" w:hAnsi="Arial"/>
          <w:spacing w:val="1"/>
          <w:sz w:val="24"/>
          <w:szCs w:val="24"/>
          <w:shd w:fill="auto" w:val="clear"/>
          <w:lang w:val="en-US"/>
        </w:rPr>
        <w:t>n</w:t>
      </w:r>
      <w:r>
        <w:rPr>
          <w:rFonts w:cs="Arial" w:ascii="Arial" w:hAnsi="Arial"/>
          <w:spacing w:val="1"/>
          <w:sz w:val="24"/>
          <w:szCs w:val="24"/>
          <w:shd w:fill="auto" w:val="clear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>Единый портале государственных и муниципальных услуг (функций) (http</w:t>
      </w:r>
      <w:r>
        <w:rPr>
          <w:rFonts w:cs="Arial" w:ascii="Arial" w:hAnsi="Arial"/>
          <w:spacing w:val="1"/>
          <w:sz w:val="24"/>
          <w:szCs w:val="24"/>
          <w:shd w:fill="auto" w:val="clear"/>
          <w:lang w:val="en-US"/>
        </w:rPr>
        <w:t>s</w:t>
      </w:r>
      <w:r>
        <w:rPr>
          <w:rFonts w:cs="Arial" w:ascii="Arial" w:hAnsi="Arial"/>
          <w:spacing w:val="1"/>
          <w:sz w:val="24"/>
          <w:szCs w:val="24"/>
          <w:shd w:fill="auto" w:val="clear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 xml:space="preserve">Исполнительный комитет </w:t>
      </w:r>
      <w:r>
        <w:rPr>
          <w:rFonts w:cs="Arial" w:ascii="Arial" w:hAnsi="Arial"/>
          <w:i/>
          <w:iCs/>
          <w:spacing w:val="1"/>
          <w:sz w:val="24"/>
          <w:szCs w:val="24"/>
          <w:shd w:fill="auto" w:val="clear"/>
        </w:rPr>
        <w:t xml:space="preserve">_____________ (указать) – </w:t>
      </w:r>
      <w:r>
        <w:rPr>
          <w:rFonts w:cs="Arial" w:ascii="Arial" w:hAnsi="Arial"/>
          <w:spacing w:val="1"/>
          <w:sz w:val="24"/>
          <w:szCs w:val="24"/>
          <w:shd w:fill="auto" w:val="clear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highlight w:val="none"/>
          <w:shd w:fill="auto" w:val="clear"/>
        </w:rPr>
      </w:pPr>
      <w:r>
        <w:rPr>
          <w:rFonts w:cs="Arial" w:ascii="Arial" w:hAnsi="Arial"/>
          <w:spacing w:val="1"/>
          <w:sz w:val="24"/>
          <w:szCs w:val="24"/>
          <w:shd w:fill="auto" w:val="clear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2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auto" w:val="clear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3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</w:t>
      </w:r>
      <w:r>
        <w:rPr>
          <w:rFonts w:cs="Arial" w:ascii="Arial" w:hAnsi="Arial"/>
          <w:sz w:val="24"/>
          <w:szCs w:val="24"/>
          <w:shd w:fill="auto" w:val="clear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</w:t>
      </w:r>
      <w:r>
        <w:rPr>
          <w:rFonts w:cs="Arial" w:ascii="Arial" w:hAnsi="Arial"/>
          <w:sz w:val="24"/>
          <w:szCs w:val="24"/>
          <w:shd w:fill="auto" w:val="clear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</w:t>
      </w:r>
      <w:r>
        <w:rPr>
          <w:rFonts w:cs="Arial" w:ascii="Arial" w:hAnsi="Arial"/>
          <w:sz w:val="24"/>
          <w:szCs w:val="24"/>
          <w:shd w:fill="auto" w:val="clear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</w:t>
      </w:r>
      <w:r>
        <w:rPr>
          <w:rFonts w:cs="Arial" w:ascii="Arial" w:hAnsi="Arial"/>
          <w:sz w:val="24"/>
          <w:szCs w:val="24"/>
          <w:shd w:fill="auto" w:val="clear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4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предоставлении Услуги</w:t>
      </w:r>
      <w:r>
        <w:rPr>
          <w:rFonts w:cs="Arial" w:ascii="Arial" w:hAnsi="Arial"/>
          <w:b/>
          <w:bCs/>
          <w:color w:val="000000"/>
          <w:spacing w:val="-6"/>
          <w:sz w:val="24"/>
          <w:szCs w:val="24"/>
          <w:shd w:fill="auto" w:val="clear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Arial" w:hAnsi="Arial" w:cs="Arial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9"/>
        <w:gridCol w:w="2268"/>
        <w:gridCol w:w="7095"/>
      </w:tblGrid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Идентификатор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Cs/>
                <w:i/>
                <w:color w:val="000000"/>
                <w:spacing w:val="-6"/>
                <w:sz w:val="24"/>
                <w:szCs w:val="24"/>
                <w:shd w:fill="auto" w:val="clear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bookmarkStart w:id="7" w:name="undefined_Копия_3"/>
      <w:r>
        <w:rPr>
          <w:rFonts w:cs="Arial" w:ascii="Arial" w:hAnsi="Arial"/>
          <w:sz w:val="24"/>
          <w:szCs w:val="24"/>
          <w:shd w:fill="auto" w:val="clear"/>
        </w:rPr>
        <w:t>Приложение № 5</w:t>
      </w:r>
      <w:bookmarkStart w:id="8" w:name="undefined_Копия_4"/>
      <w:bookmarkEnd w:id="7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bookmarkStart w:id="9" w:name="undefined_Копия_5"/>
      <w:bookmarkEnd w:id="8"/>
      <w:bookmarkEnd w:id="9"/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ru-RU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bookmarkStart w:id="10" w:name="undefined_Копия_6"/>
      <w:bookmarkStart w:id="11" w:name="undefined_Копия_5_Копия_1"/>
      <w:bookmarkEnd w:id="10"/>
      <w:bookmarkEnd w:id="11"/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auto" w:val="clear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</w:r>
      <w:bookmarkStart w:id="12" w:name="undefined_Копия_7"/>
      <w:bookmarkStart w:id="13" w:name="undefined_Копия_6_Копия_1"/>
      <w:bookmarkStart w:id="14" w:name="undefined_Копия_7"/>
      <w:bookmarkStart w:id="15" w:name="undefined_Копия_6_Копия_1"/>
      <w:bookmarkEnd w:id="15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18"/>
        <w:gridCol w:w="3404"/>
        <w:gridCol w:w="283"/>
        <w:gridCol w:w="2560"/>
        <w:gridCol w:w="236"/>
        <w:gridCol w:w="1266"/>
        <w:gridCol w:w="234"/>
        <w:gridCol w:w="1090"/>
      </w:tblGrid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№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  <w:br/>
            </w: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6" w:name="undefined_Копия_8"/>
      <w:bookmarkEnd w:id="14"/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захоронений:</w:t>
      </w:r>
      <w:bookmarkStart w:id="17" w:name="undefined_Копия_9"/>
      <w:bookmarkEnd w:id="16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bookmarkEnd w:id="17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6</w:t>
      </w:r>
      <w:bookmarkStart w:id="18" w:name="undefined_Копия_10"/>
      <w:bookmarkEnd w:id="18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</w:t>
      </w: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»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ConsPlusNormal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                                                        </w:t>
      </w:r>
      <w:r>
        <w:rPr>
          <w:rFonts w:cs="Arial" w:ascii="Arial" w:hAnsi="Arial"/>
          <w:sz w:val="24"/>
          <w:szCs w:val="24"/>
          <w:shd w:fill="auto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bookmarkStart w:id="19" w:name="undefined_Копия_11"/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родственное</w:t>
      </w:r>
      <w:bookmarkEnd w:id="19"/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 xml:space="preserve">, </w:t>
      </w:r>
      <w:bookmarkStart w:id="20" w:name="undefined_Копия_12"/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семейное(родовое)</w:t>
      </w:r>
      <w:bookmarkEnd w:id="20"/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5"/>
        <w:gridCol w:w="236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  <w:bookmarkStart w:id="21" w:name="undefined_Копия_14"/>
      <w:bookmarkEnd w:id="21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7</w:t>
      </w:r>
      <w:bookmarkStart w:id="22" w:name="undefined_Копия_15"/>
      <w:bookmarkEnd w:id="22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 о выдаче разрешения на эксгумацию»</w:t>
      </w:r>
    </w:p>
    <w:p>
      <w:pPr>
        <w:pStyle w:val="ConsPlus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cs="Arial"/>
          <w:color w:val="FF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color w:val="FF0000"/>
          <w:sz w:val="24"/>
          <w:szCs w:val="24"/>
          <w:shd w:fill="auto" w:val="clear"/>
        </w:rPr>
      </w:r>
      <w:bookmarkStart w:id="23" w:name="undefined_Копия_16"/>
      <w:bookmarkStart w:id="24" w:name="undefined_Копия_16"/>
      <w:bookmarkEnd w:id="24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bookmarkStart w:id="25" w:name="undefined_Копия_17"/>
      <w:bookmarkEnd w:id="25"/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Yu Mincho" w:cs="Arial" w:ascii="Arial" w:hAnsi="Arial"/>
          <w:i/>
          <w:iCs/>
          <w:color w:val="000000"/>
          <w:sz w:val="24"/>
          <w:szCs w:val="24"/>
          <w:shd w:fill="auto" w:val="clear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shd w:fill="auto" w:val="clear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196B24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Yu Mincho" w:cs="Arial" w:ascii="Arial" w:hAnsi="Arial"/>
                <w:color w:val="196B24"/>
                <w:sz w:val="24"/>
                <w:szCs w:val="24"/>
                <w:shd w:fill="auto" w:val="clear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val="en-US" w:eastAsia="ru-RU"/>
              </w:rPr>
              <w:t xml:space="preserve">(наименование 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региона</w:t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  <w:bookmarkStart w:id="26" w:name="undefined_Копия_18"/>
      <w:bookmarkEnd w:id="26"/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auto" w:val="clear"/>
        </w:rPr>
      </w:r>
    </w:p>
    <w:p>
      <w:pPr>
        <w:pStyle w:val="BodyText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27" w:name="undefined_Копия_19"/>
      <w:r>
        <w:rPr>
          <w:rFonts w:cs="Arial" w:ascii="Arial" w:hAnsi="Arial"/>
          <w:sz w:val="24"/>
          <w:szCs w:val="24"/>
          <w:shd w:fill="auto" w:val="clear"/>
        </w:rPr>
        <w:t>Приложение № 7.1</w:t>
      </w:r>
      <w:bookmarkStart w:id="28" w:name="undefined_Копия_20"/>
      <w:bookmarkEnd w:id="27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Прошу выдать разрешение на </w:t>
      </w: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эксгумацию</w:t>
      </w: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ptos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ptos" w:cs="Arial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shd w:fill="auto" w:val="clear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auto" w:val="clear"/>
          <w:lang w:eastAsia="ru-RU"/>
          <w14:ligatures w14:val="none"/>
        </w:rPr>
        <w:t>новое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 населенном пункте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ahoma" w:cs="Arial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ab/>
      </w: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bookmarkEnd w:id="28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7.2</w:t>
      </w:r>
      <w:bookmarkStart w:id="29" w:name="undefined_Копия_21"/>
      <w:bookmarkEnd w:id="29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Arial" w:hAnsi="Arial" w:cs="Arial"/>
          <w:b/>
          <w:b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ahoma" w:cs="Arial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Arial" w:ascii="Arial" w:hAnsi="Arial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5"/>
        <w:gridCol w:w="236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bookmarkStart w:id="30" w:name="undefined_Копия_22"/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  <w:bookmarkEnd w:id="30"/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bookmarkStart w:id="31" w:name="undefined_Копия_23"/>
      <w:r>
        <w:rPr>
          <w:rFonts w:cs="Arial" w:ascii="Arial" w:hAnsi="Arial"/>
          <w:sz w:val="24"/>
          <w:szCs w:val="24"/>
          <w:shd w:fill="auto" w:val="clear"/>
        </w:rPr>
        <w:t>Приложение № 8</w:t>
      </w:r>
      <w:bookmarkStart w:id="32" w:name="undefined_Копия_24"/>
      <w:bookmarkEnd w:id="31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Times New Roman" w:cs="Arial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bookmarkEnd w:id="32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9</w:t>
      </w:r>
      <w:bookmarkStart w:id="33" w:name="undefined_Копия_25"/>
      <w:bookmarkEnd w:id="33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(</w:t>
      </w: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Arial" w:hAnsi="Arial" w:eastAsia="Yu Mincho" w:cs="Arial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bookmarkStart w:id="34" w:name="undefined_Копия_26"/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  <w:bookmarkEnd w:id="34"/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bookmarkStart w:id="35" w:name="undefined_Копия_27"/>
      <w:r>
        <w:rPr>
          <w:rFonts w:cs="Arial" w:ascii="Arial" w:hAnsi="Arial"/>
          <w:sz w:val="24"/>
          <w:szCs w:val="24"/>
          <w:shd w:fill="auto" w:val="clear"/>
        </w:rPr>
        <w:t>Приложение № 9.1</w:t>
      </w:r>
      <w:bookmarkStart w:id="36" w:name="undefined_Копия_28"/>
      <w:bookmarkEnd w:id="35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«Заявление</w:t>
      </w: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i/>
          <w:i/>
          <w:i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Arial" w:hAnsi="Arial" w:eastAsia="Times New Roman" w:cs="Arial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highlight w:val="none"/>
          <w:u w:val="single"/>
          <w:shd w:fill="auto" w:val="clear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auto" w:val="clear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Arial" w:hAnsi="Arial" w:eastAsia="Times New Roman" w:cs="Arial"/>
          <w:color w:val="000000"/>
          <w:sz w:val="24"/>
          <w:szCs w:val="24"/>
          <w:highlight w:val="none"/>
          <w:u w:val="single"/>
          <w:shd w:fill="auto" w:val="clear"/>
          <w:lang w:val="en-US"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u w:val="single"/>
          <w:shd w:fill="auto" w:val="clear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Yu Mincho" w:cs="Arial" w:ascii="Arial" w:hAnsi="Arial"/>
          <w:b/>
          <w:bCs/>
          <w:color w:val="000000"/>
          <w:sz w:val="24"/>
          <w:szCs w:val="24"/>
          <w:shd w:fill="auto" w:val="clear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val="en-US" w:eastAsia="zh-CN"/>
              </w:rPr>
              <w:t>СН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bookmarkStart w:id="37" w:name="undefined_Копия_29"/>
      <w:bookmarkEnd w:id="36"/>
      <w:bookmarkEnd w:id="37"/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"/>
        <w:gridCol w:w="2107"/>
        <w:gridCol w:w="284"/>
        <w:gridCol w:w="1839"/>
        <w:gridCol w:w="242"/>
        <w:gridCol w:w="3031"/>
        <w:gridCol w:w="280"/>
        <w:gridCol w:w="1416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 xml:space="preserve">№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Сведения, указанные в заявлении о родственных </w:t>
      </w:r>
      <w:bookmarkStart w:id="38" w:name="undefined_Копия_30"/>
      <w:bookmarkEnd w:id="38"/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bookmarkStart w:id="39" w:name="undefined_Копия_31"/>
      <w:r>
        <w:rPr>
          <w:rFonts w:cs="Arial" w:ascii="Arial" w:hAnsi="Arial"/>
          <w:sz w:val="24"/>
          <w:szCs w:val="24"/>
          <w:shd w:fill="auto" w:val="clear"/>
        </w:rPr>
        <w:t>Приложение № 10</w:t>
      </w:r>
      <w:bookmarkStart w:id="40" w:name="undefined_Копия_32"/>
      <w:bookmarkEnd w:id="39"/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bookmarkStart w:id="41" w:name="undefined_Копия_33"/>
            <w:bookmarkEnd w:id="40"/>
            <w:bookmarkEnd w:id="41"/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shd w:fill="auto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2" w:name="undefined_Копия_34"/>
            <w:bookmarkStart w:id="43" w:name="undefined_Копия_33_Копия_1"/>
            <w:bookmarkEnd w:id="42"/>
            <w:bookmarkEnd w:id="43"/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bookmarkStart w:id="44" w:name="undefined_Копия_35"/>
            <w:bookmarkStart w:id="45" w:name="undefined_Копия_34_Копия_1"/>
            <w:bookmarkEnd w:id="44"/>
            <w:bookmarkEnd w:id="45"/>
            <w:r>
              <w:rPr>
                <w:rFonts w:eastAsia="Times New Roman" w:cs="Arial" w:ascii="Arial" w:hAnsi="Arial"/>
                <w:i/>
                <w:sz w:val="24"/>
                <w:szCs w:val="24"/>
                <w:shd w:fill="auto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6" w:name="undefined_Копия_36"/>
            <w:bookmarkStart w:id="47" w:name="undefined_Копия_35_Копия_1"/>
            <w:bookmarkEnd w:id="46"/>
            <w:bookmarkEnd w:id="47"/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bookmarkStart w:id="48" w:name="undefined_Копия_36_Копия_1"/>
            <w:bookmarkEnd w:id="48"/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i/>
          <w:iCs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11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sz w:val="24"/>
          <w:szCs w:val="24"/>
          <w:shd w:fill="auto" w:val="clear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alibri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bCs/>
          <w:sz w:val="24"/>
          <w:szCs w:val="24"/>
          <w:shd w:fill="auto" w:val="clear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shd w:fill="auto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Cs/>
                <w:sz w:val="24"/>
                <w:szCs w:val="24"/>
                <w:shd w:fill="auto" w:val="clear"/>
                <w14:ligatures w14:val="none"/>
              </w:rPr>
              <w:t>дата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12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bCs/>
                <w:sz w:val="24"/>
                <w:szCs w:val="24"/>
                <w:shd w:fill="auto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shd w:fill="auto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эксгумацию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13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sz w:val="24"/>
                <w:szCs w:val="24"/>
                <w:shd w:fill="auto" w:val="clear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Arial" w:hAnsi="Arial" w:eastAsia="Times New Roman" w:cs="Arial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  <w:shd w:fill="auto" w:val="clear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Arial" w:hAnsi="Arial" w:eastAsia="Yu Mincho" w:cs="Arial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color w:val="000000"/>
          <w:sz w:val="24"/>
          <w:szCs w:val="24"/>
          <w:shd w:fill="auto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i/>
                <w:iCs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Размер места захоронения (м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200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color w:val="000000"/>
          <w:sz w:val="24"/>
          <w:szCs w:val="24"/>
          <w:shd w:fill="auto" w:val="clear"/>
        </w:rPr>
        <w:t>Сведения о захороненном (-ых) на участке:</w:t>
      </w:r>
      <w:r>
        <w:rPr>
          <w:rFonts w:eastAsia="Calibri" w:cs="Arial" w:ascii="Arial" w:hAnsi="Arial"/>
          <w:i/>
          <w:iCs/>
          <w:color w:val="000000"/>
          <w:sz w:val="24"/>
          <w:szCs w:val="24"/>
          <w:shd w:fill="auto" w:val="clear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8"/>
        <w:gridCol w:w="5667"/>
        <w:gridCol w:w="283"/>
        <w:gridCol w:w="2133"/>
        <w:gridCol w:w="275"/>
        <w:gridCol w:w="1418"/>
      </w:tblGrid>
      <w:tr>
        <w:trPr/>
        <w:tc>
          <w:tcPr>
            <w:tcW w:w="288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 xml:space="preserve">№ 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200"/>
        <w:rPr>
          <w:rFonts w:ascii="Arial" w:hAnsi="Arial" w:eastAsia="Calibri" w:cs="Arial"/>
          <w:sz w:val="24"/>
          <w:szCs w:val="24"/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Arial" w:hAnsi="Arial" w:eastAsia="Calibri" w:cs="Arial"/>
          <w:i/>
          <w:i/>
          <w:iCs/>
          <w:sz w:val="24"/>
          <w:szCs w:val="24"/>
          <w:highlight w:val="none"/>
          <w:shd w:fill="auto" w:val="clear"/>
          <w:lang w:val="en-US"/>
        </w:rPr>
      </w:pPr>
      <w:r>
        <w:rPr>
          <w:rFonts w:eastAsia="Calibri" w:cs="Arial" w:ascii="Arial" w:hAnsi="Arial"/>
          <w:i/>
          <w:iCs/>
          <w:sz w:val="24"/>
          <w:szCs w:val="24"/>
          <w:shd w:fill="auto" w:val="clear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i/>
          <w:i/>
          <w:iCs/>
          <w:sz w:val="24"/>
          <w:szCs w:val="24"/>
          <w:highlight w:val="none"/>
          <w:shd w:fill="auto" w:val="clear"/>
          <w:lang w:val="en-US"/>
        </w:rPr>
      </w:pPr>
      <w:r>
        <w:rPr>
          <w:rFonts w:cs="Arial" w:ascii="Arial" w:hAnsi="Arial"/>
          <w:i/>
          <w:iCs/>
          <w:sz w:val="24"/>
          <w:szCs w:val="24"/>
          <w:shd w:fill="auto" w:val="clear"/>
          <w:lang w:val="en-US"/>
        </w:rPr>
      </w:r>
    </w:p>
    <w:p>
      <w:p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14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№ </w:t>
      </w:r>
      <w:r>
        <w:rPr>
          <w:rFonts w:cs="Arial" w:ascii="Arial" w:hAnsi="Arial"/>
          <w:sz w:val="24"/>
          <w:szCs w:val="24"/>
          <w:shd w:fill="auto" w:val="clear"/>
        </w:rPr>
        <w:t>____________</w:t>
      </w:r>
    </w:p>
    <w:p>
      <w:pPr>
        <w:pStyle w:val="Normal"/>
        <w:spacing w:lineRule="auto" w:line="240"/>
        <w:jc w:val="center"/>
        <w:rPr>
          <w:rFonts w:ascii="Arial" w:hAnsi="Arial" w:eastAsia="Aptos" w:cs="Arial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sz w:val="24"/>
          <w:szCs w:val="24"/>
          <w:shd w:fill="auto" w:val="clear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  <w:lang w:val="en-US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sz w:val="24"/>
                <w:szCs w:val="24"/>
                <w:shd w:fill="auto" w:val="clear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851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  <w:tab/>
      </w:r>
      <w:r>
        <w:rPr>
          <w:rFonts w:cs="Arial" w:ascii="Arial" w:hAnsi="Arial"/>
          <w:sz w:val="24"/>
          <w:szCs w:val="24"/>
          <w:shd w:fill="auto" w:val="clear"/>
        </w:rPr>
        <w:t>УДОСТОВЕРЕНИЕ О ЗАХОРОНЕНИИ</w:t>
      </w:r>
    </w:p>
    <w:p>
      <w:pPr>
        <w:pStyle w:val="Header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 xml:space="preserve">№ </w:t>
      </w:r>
      <w:r>
        <w:rPr>
          <w:rFonts w:cs="Arial" w:ascii="Arial" w:hAnsi="Arial"/>
          <w:sz w:val="24"/>
          <w:szCs w:val="24"/>
          <w:shd w:fill="auto" w:val="clear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6"/>
        <w:gridCol w:w="242"/>
        <w:gridCol w:w="1382"/>
        <w:gridCol w:w="246"/>
        <w:gridCol w:w="1674"/>
        <w:gridCol w:w="249"/>
        <w:gridCol w:w="1662"/>
        <w:gridCol w:w="236"/>
        <w:gridCol w:w="2004"/>
        <w:gridCol w:w="241"/>
        <w:gridCol w:w="1443"/>
        <w:gridCol w:w="230"/>
        <w:gridCol w:w="966"/>
        <w:gridCol w:w="241"/>
        <w:gridCol w:w="1854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</w:rPr>
              <w:t>I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  <w:lang w:val="en-US"/>
              </w:rPr>
              <w:t>V</w:t>
            </w:r>
            <w:r>
              <w:rPr>
                <w:rFonts w:eastAsia="Aptos" w:cs="Arial" w:ascii="Arial" w:hAnsi="Arial"/>
                <w:b/>
                <w:bCs/>
                <w:sz w:val="24"/>
                <w:szCs w:val="24"/>
                <w:shd w:fill="auto" w:val="clear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Дата смерти</w:t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000000"/>
                <w:sz w:val="24"/>
                <w:szCs w:val="24"/>
                <w:shd w:fill="auto" w:val="clear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Способ погребения</w:t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 xml:space="preserve">№ </w:t>
            </w: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color w:val="1D1D20"/>
                <w:spacing w:val="-5"/>
                <w:sz w:val="24"/>
                <w:szCs w:val="24"/>
                <w:shd w:fill="auto" w:val="clear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eastAsia="Yu Mincho" w:cs="Arial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Arial" w:ascii="Arial" w:hAnsi="Arial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Aptos" w:cs="Arial" w:ascii="Arial" w:hAnsi="Arial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Arial" w:hAnsi="Arial" w:eastAsia="Aptos" w:cs="Arial"/>
          <w:color w:val="000000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Aptos" w:cs="Arial" w:ascii="Arial" w:hAnsi="Arial"/>
          <w:color w:val="000000"/>
          <w:sz w:val="24"/>
          <w:szCs w:val="24"/>
          <w:shd w:fill="auto" w:val="clear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Arial" w:hAnsi="Arial" w:eastAsia="Aptos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Aptos" w:cs="Arial" w:ascii="Arial" w:hAnsi="Arial"/>
          <w:sz w:val="24"/>
          <w:szCs w:val="24"/>
          <w:shd w:fill="auto" w:val="clear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Приложение № 15</w:t>
      </w:r>
    </w:p>
    <w:p>
      <w:pPr>
        <w:pStyle w:val="ConsPlusNormal"/>
        <w:ind w:left="5670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ConsPlusNormal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Arial" w:ascii="Arial" w:hAnsi="Arial"/>
          <w:b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b/>
          <w:bCs/>
          <w:sz w:val="24"/>
          <w:szCs w:val="24"/>
          <w:shd w:fill="auto" w:val="clear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Consolas" w:cs="Arial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Arial" w:ascii="Arial" w:hAnsi="Arial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Calibri" w:cs="Arial" w:ascii="Arial" w:hAnsi="Arial"/>
          <w:b/>
          <w:bCs/>
          <w:sz w:val="24"/>
          <w:szCs w:val="24"/>
          <w:shd w:fill="auto" w:val="clear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Arial" w:hAnsi="Arial" w:eastAsia="Calibri" w:cs="Arial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highlight w:val="none"/>
          <w:shd w:fill="auto" w:val="clear"/>
        </w:rPr>
      </w:pPr>
      <w:r>
        <w:rPr>
          <w:rFonts w:eastAsia="Calibri" w:cs="Arial" w:ascii="Arial" w:hAnsi="Arial"/>
          <w:bCs/>
          <w:sz w:val="24"/>
          <w:szCs w:val="24"/>
          <w:shd w:fill="auto" w:val="clear"/>
          <w:lang w:eastAsia="ru-RU"/>
          <w14:ligatures w14:val="none"/>
        </w:rPr>
        <w:t>Дополнительно информируем:</w:t>
      </w:r>
      <w:r>
        <w:rPr>
          <w:rFonts w:eastAsia="Calibri" w:cs="Arial" w:ascii="Arial" w:hAnsi="Arial"/>
          <w:b/>
          <w:sz w:val="24"/>
          <w:szCs w:val="24"/>
          <w:shd w:fill="auto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Arial" w:hAnsi="Arial" w:eastAsia="Yu Mincho" w:cs="Arial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Arial" w:ascii="Arial" w:hAnsi="Arial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onsolas" w:cs="Arial" w:ascii="Arial" w:hAnsi="Arial"/>
          <w:i/>
          <w:iCs/>
          <w:sz w:val="24"/>
          <w:szCs w:val="24"/>
          <w:shd w:fill="auto" w:val="clear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Arial" w:ascii="Arial" w:hAnsi="Arial"/>
          <w:sz w:val="24"/>
          <w:szCs w:val="24"/>
          <w:shd w:fill="auto" w:val="clear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i/>
                <w:iCs/>
                <w:sz w:val="24"/>
                <w:szCs w:val="24"/>
                <w:shd w:fill="auto" w:val="clear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i/>
                <w:iCs/>
                <w:sz w:val="24"/>
                <w:szCs w:val="24"/>
                <w:shd w:fill="auto" w:val="clear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51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  <w14:ligatures w14:val="none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D07B90-82B7-4CA1-911E-FDE2D963E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LibreOffice/7.6.7.2$Linux_X86_64 LibreOffice_project/60$Build-2</Application>
  <AppVersion>15.0000</AppVersion>
  <Pages>49</Pages>
  <Words>8688</Words>
  <Characters>67152</Characters>
  <CharactersWithSpaces>75320</CharactersWithSpaces>
  <Paragraphs>1168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2026-04-14T05:41:00Z</dcterms:created>
  <dc:creator>ВЛАД Smin</dc:creator>
  <dc:description/>
  <dc:language>ru-RU</dc:language>
  <cp:lastModifiedBy/>
  <cp:lastPrinted>2026-03-30T13:45:00Z</cp:lastPrinted>
  <dcterms:modified xsi:type="dcterms:W3CDTF">2026-04-14T16:42:14Z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