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770" w:type="dxa"/>
        <w:jc w:val="left"/>
        <w:tblInd w:w="-9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68"/>
        <w:gridCol w:w="2387"/>
        <w:gridCol w:w="3915"/>
      </w:tblGrid>
      <w:tr>
        <w:trPr>
          <w:trHeight w:val="2205" w:hRule="atLeast"/>
        </w:trPr>
        <w:tc>
          <w:tcPr>
            <w:tcW w:w="44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БАШКРМА КОМИТЕТЫ</w:t>
            </w:r>
          </w:p>
        </w:tc>
      </w:tr>
    </w:tbl>
    <w:p>
      <w:pPr>
        <w:pStyle w:val="Normal"/>
        <w:jc w:val="center"/>
        <w:rPr/>
      </w:pPr>
      <w:r>
        <w:rPr>
          <w:rFonts w:ascii="Liberation Serif" w:hAnsi="Liberation Serif"/>
          <w:sz w:val="28"/>
          <w:szCs w:val="28"/>
        </w:rPr>
        <w:t>ПОСТАНОВЛЕНИЕ                                                                 КАРАР</w:t>
      </w:r>
    </w:p>
    <w:p>
      <w:pPr>
        <w:pStyle w:val="Normal"/>
        <w:jc w:val="center"/>
        <w:rPr/>
      </w:pPr>
      <w:r>
        <w:rPr>
          <w:rFonts w:ascii="Liberation Serif" w:hAnsi="Liberation Serif"/>
          <w:sz w:val="28"/>
          <w:szCs w:val="28"/>
        </w:rPr>
        <w:t xml:space="preserve">          </w:t>
      </w:r>
    </w:p>
    <w:p>
      <w:pPr>
        <w:pStyle w:val="Normal"/>
        <w:widowControl/>
        <w:bidi w:val="0"/>
        <w:spacing w:lineRule="auto" w:line="276" w:before="0" w:after="200"/>
        <w:ind w:hanging="0" w:left="0" w:right="4989"/>
        <w:jc w:val="both"/>
        <w:rPr/>
      </w:pPr>
      <w:r>
        <w:rPr>
          <w:rFonts w:ascii="Liberation Serif" w:hAnsi="Liberation Serif"/>
          <w:sz w:val="28"/>
          <w:szCs w:val="28"/>
        </w:rPr>
        <w:t>О внесении изменений в Постановление Исполнительного комитета Исаковского сельского поселения Буинского муниципального района от 08.04.2021 г. № 6 «Об утверждении административного регламента по предоставлению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собственности»</w:t>
      </w:r>
    </w:p>
    <w:p>
      <w:pPr>
        <w:pStyle w:val="Normal"/>
        <w:widowControl/>
        <w:bidi w:val="0"/>
        <w:spacing w:lineRule="auto" w:line="276" w:before="0" w:after="200"/>
        <w:ind w:hanging="0" w:left="0" w:right="498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Исаковского сельского поселения Буинского муниципального района РТ, постановляет: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1. Внести в постановление Исполнительного комитета Исаковского сельского поселения Буинского муниципального района от 08.04.2021 г. № 6 «Об утверждении административного регламента по предоставлению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собственности» следующие изменения и дополнения: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1.1.Раздел 3  в пункте 3 части 2 слово «центрах;» заменить словами «центрах.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обратились;»;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б) дополнить частью 3 следующего содержания: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«3.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власти.»;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>Руководитель Исполнительного комитета</w:t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Исаковского сельского поселения</w:t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>Буинского муниципального района РТ                                 З.Р.Мухаметзянова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LibreOffice/7.6.7.2$Linux_X86_64 LibreOffice_project/60$Build-2</Application>
  <AppVersion>15.0000</AppVersion>
  <Pages>2</Pages>
  <Words>291</Words>
  <Characters>2387</Characters>
  <CharactersWithSpaces>2796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2026-03-28T09:54:47Z</cp:lastPrinted>
  <dcterms:modified xsi:type="dcterms:W3CDTF">2026-05-05T09:13:37Z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